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D2EBF" w14:textId="2FD4D9B8" w:rsidR="004150A6" w:rsidRDefault="009E300B">
      <w:r>
        <w:t>Giancarlo Vecchi</w:t>
      </w:r>
      <w:r w:rsidR="005500F4">
        <w:t xml:space="preserve"> – Dipartimento di ingegneria gestionale, Politecnico di Milano</w:t>
      </w:r>
    </w:p>
    <w:p w14:paraId="0F51C95B" w14:textId="5D6CE77A" w:rsidR="005500F4" w:rsidRDefault="005500F4">
      <w:r>
        <w:t>Coordinatore del progetto per il Politecnico di Milano e coordinatore per l’area lombarda delle attività di tipo organizzativo-gestionale</w:t>
      </w:r>
    </w:p>
    <w:p w14:paraId="3379D604" w14:textId="58E9698F" w:rsidR="005500F4" w:rsidRDefault="005500F4">
      <w:r>
        <w:t>(</w:t>
      </w:r>
      <w:hyperlink r:id="rId6" w:history="1">
        <w:r w:rsidRPr="00B3189E">
          <w:rPr>
            <w:rStyle w:val="Collegamentoipertestuale"/>
          </w:rPr>
          <w:t>giancarlo.vecchi@polimi.it</w:t>
        </w:r>
      </w:hyperlink>
      <w:r>
        <w:t>)</w:t>
      </w:r>
    </w:p>
    <w:p w14:paraId="303D847A" w14:textId="77777777" w:rsidR="005500F4" w:rsidRDefault="005500F4"/>
    <w:p w14:paraId="7A66C2A9" w14:textId="2FA8BAF3" w:rsidR="009E300B" w:rsidRPr="00D81F0E" w:rsidRDefault="009E300B" w:rsidP="003D3B4A">
      <w:pPr>
        <w:jc w:val="both"/>
        <w:rPr>
          <w:b/>
          <w:bCs/>
        </w:rPr>
      </w:pPr>
      <w:r w:rsidRPr="00D81F0E">
        <w:rPr>
          <w:b/>
          <w:bCs/>
        </w:rPr>
        <w:t xml:space="preserve">Relazione sulle attività del Politecnico di Milano </w:t>
      </w:r>
      <w:r w:rsidR="005500F4" w:rsidRPr="00D81F0E">
        <w:rPr>
          <w:b/>
          <w:bCs/>
        </w:rPr>
        <w:t>negli uffici giudiziari milanesi</w:t>
      </w:r>
    </w:p>
    <w:p w14:paraId="0A0FA5CC" w14:textId="77777777" w:rsidR="005500F4" w:rsidRDefault="005500F4" w:rsidP="003D3B4A">
      <w:pPr>
        <w:jc w:val="both"/>
      </w:pPr>
    </w:p>
    <w:p w14:paraId="39B55CB3" w14:textId="4DE26A29" w:rsidR="00F51831" w:rsidRDefault="00F51831" w:rsidP="003D3B4A">
      <w:pPr>
        <w:jc w:val="both"/>
      </w:pPr>
      <w:r>
        <w:t>Evento 6 novembre 2024 – Atenei e uffici giudiziari: una task force per il futuro</w:t>
      </w:r>
    </w:p>
    <w:p w14:paraId="2A0F23D9" w14:textId="77777777" w:rsidR="00F51831" w:rsidRDefault="00F51831" w:rsidP="003D3B4A">
      <w:pPr>
        <w:jc w:val="both"/>
      </w:pPr>
    </w:p>
    <w:p w14:paraId="0238FF3D" w14:textId="570BE3B0" w:rsidR="00F51831" w:rsidRDefault="005A77E4" w:rsidP="003D3B4A">
      <w:pPr>
        <w:jc w:val="both"/>
      </w:pPr>
      <w:r>
        <w:t xml:space="preserve">Il Politecnico di Milano, attraverso la collaborazione di tre dipartimenti (Ingegneria gestionale, Elettronica e Architettura e Studi Urbani) ha coordinato l’area lombarda nell’ambito della Macro-Area Nord-Ovest, e ha realizzato interventi presso gli uffici milanesi: la Corte d’appello, il Tribunale e il Tribunale per i minorenni. Le attività di analisi degli UPP (interviste e, in particolare una survey) hanno riguardato anche la Corte d’appello di Brescia, e poi i tribunali di Brescia, Como, Lecco, Sondrio, Varese, Bergamo, Brescia, Cremona, Mantova, Monza, Busto Arsizio, Pavia e Lodi, in collaborazione con gli altri atenei coinvolti. </w:t>
      </w:r>
    </w:p>
    <w:p w14:paraId="103FA426" w14:textId="77777777" w:rsidR="003D3B4A" w:rsidRDefault="003D3B4A" w:rsidP="003D3B4A">
      <w:pPr>
        <w:jc w:val="both"/>
      </w:pPr>
    </w:p>
    <w:p w14:paraId="494E089C" w14:textId="056F5B15" w:rsidR="003D3B4A" w:rsidRDefault="003D3B4A" w:rsidP="003D3B4A">
      <w:pPr>
        <w:jc w:val="both"/>
      </w:pPr>
      <w:r>
        <w:t>In questa occasione presento progetti, realizzati presso la Corte d’Appello di Milano, alcuni dei quali sono utilizzati tutt’ora e altri sono oggetto di proseguimento ulteriore.</w:t>
      </w:r>
    </w:p>
    <w:p w14:paraId="2B948F3D" w14:textId="77777777" w:rsidR="003D3B4A" w:rsidRDefault="003D3B4A" w:rsidP="003D3B4A">
      <w:pPr>
        <w:jc w:val="both"/>
      </w:pPr>
    </w:p>
    <w:p w14:paraId="3AF2BE6A" w14:textId="385C37F8" w:rsidR="005500F4" w:rsidRDefault="005500F4" w:rsidP="003D3B4A">
      <w:pPr>
        <w:jc w:val="both"/>
      </w:pPr>
      <w:r>
        <w:t xml:space="preserve">Un intervento ha riguardato l’individuazione di modelli di gestione dell’Ufficio per il processo e dei suoi addetti. L’estensione dell’UPP attraverso il PNRR ha l’esigenza di superare la concezione dell’addetto come supporto al singolo magistrato, se non in particolari situazioni; sia perché non sono sufficienti i numeri degli addetti, sia perché </w:t>
      </w:r>
      <w:r w:rsidR="00D26D7C">
        <w:t xml:space="preserve">la loro performance può essere maggiore se organizzati in specifiche attività. </w:t>
      </w:r>
    </w:p>
    <w:p w14:paraId="47B01E69" w14:textId="4C51C39C" w:rsidR="00D26D7C" w:rsidRDefault="00562B0C" w:rsidP="003D3B4A">
      <w:pPr>
        <w:jc w:val="both"/>
      </w:pPr>
      <w:r>
        <w:t>Inoltre, l’analisi ha avuto anche l’obiettivo di porre l’attenzione sul ruolo dei presidenti di sezione, il vero snodo per rendere efficace questa soluzione organizzativa</w:t>
      </w:r>
      <w:r w:rsidR="00E328F9">
        <w:t>, fatta eccezione per gli UPP trasversali e a supporto degli uffici amministrativi.</w:t>
      </w:r>
    </w:p>
    <w:p w14:paraId="4259D7CB" w14:textId="081C8137" w:rsidR="00562B0C" w:rsidRDefault="00E328F9" w:rsidP="003D3B4A">
      <w:pPr>
        <w:jc w:val="both"/>
      </w:pPr>
      <w:r>
        <w:t xml:space="preserve">Sono state individuate </w:t>
      </w:r>
      <w:proofErr w:type="gramStart"/>
      <w:r>
        <w:t>5</w:t>
      </w:r>
      <w:proofErr w:type="gramEnd"/>
      <w:r>
        <w:t xml:space="preserve"> categorie di UPP (mini-pool, </w:t>
      </w:r>
      <w:proofErr w:type="spellStart"/>
      <w:r>
        <w:t>aup</w:t>
      </w:r>
      <w:proofErr w:type="spellEnd"/>
      <w:r>
        <w:t xml:space="preserve">/fascicolo, rotazione su mansioni, modello collegio, e modello </w:t>
      </w:r>
      <w:proofErr w:type="spellStart"/>
      <w:r>
        <w:t>one-to-one</w:t>
      </w:r>
      <w:proofErr w:type="spellEnd"/>
      <w:r>
        <w:t xml:space="preserve">). </w:t>
      </w:r>
      <w:r w:rsidR="001009B2">
        <w:t xml:space="preserve">Le analisi hanno fatto emergere che il modello </w:t>
      </w:r>
      <w:proofErr w:type="spellStart"/>
      <w:r w:rsidR="001009B2">
        <w:t>one-to-one</w:t>
      </w:r>
      <w:proofErr w:type="spellEnd"/>
      <w:r w:rsidR="001009B2">
        <w:t xml:space="preserve"> può essere utile in situazioni specifiche e limitate nel tempo (formazione degli addetti, gestione emergenze, ecc.), mentre gli altri modelli permettono una gestione più flessibile, l’apprendimento sulle varie fasi del lavoro, la gestione di fasi critiche, il supporto anche alle cancellerie, ecc. Il riferimento a questi modelli è stato utilizzato sia dal Ministero della giustizia che dal CSM, ed è tutt’ora in uso presso la </w:t>
      </w:r>
      <w:proofErr w:type="spellStart"/>
      <w:r w:rsidR="001009B2">
        <w:t>CdA</w:t>
      </w:r>
      <w:proofErr w:type="spellEnd"/>
      <w:r w:rsidR="001009B2">
        <w:t xml:space="preserve"> di Milano, assieme alle riunioni periodiche Presidente/Presidenti di sezione/magistrati/amm.vi, assieme alle schede con l’andamento degli indicatori in serie storica con proiezioni al 2026, per monitorare il progresso verso i target PNRR.</w:t>
      </w:r>
    </w:p>
    <w:p w14:paraId="30F7B734" w14:textId="77777777" w:rsidR="001009B2" w:rsidRDefault="001009B2" w:rsidP="003D3B4A">
      <w:pPr>
        <w:jc w:val="both"/>
      </w:pPr>
    </w:p>
    <w:p w14:paraId="5DB3F47C" w14:textId="16CB0035" w:rsidR="001009B2" w:rsidRDefault="001009B2" w:rsidP="003D3B4A">
      <w:pPr>
        <w:jc w:val="both"/>
      </w:pPr>
      <w:r>
        <w:t>Il secondo intervento</w:t>
      </w:r>
      <w:r w:rsidR="0019179B">
        <w:t xml:space="preserve"> ha riguardato l’elaborazione di un modello per la valutazione degli assetti UPP, realizzato in collaborazione con il dirigente </w:t>
      </w:r>
      <w:proofErr w:type="spellStart"/>
      <w:r w:rsidR="0019179B">
        <w:t>amm.vo</w:t>
      </w:r>
      <w:proofErr w:type="spellEnd"/>
      <w:r w:rsidR="0019179B">
        <w:t xml:space="preserve"> e i funzio</w:t>
      </w:r>
      <w:r w:rsidR="00995B1D">
        <w:t>na</w:t>
      </w:r>
      <w:r w:rsidR="0019179B">
        <w:t xml:space="preserve">ri della Corte d’appello di Milano. </w:t>
      </w:r>
      <w:r w:rsidR="00BD745B">
        <w:t xml:space="preserve">Sulla base degli obiettivi di sezione (o riguardanti gli UPP trasversali, ecc.), in uno specifico </w:t>
      </w:r>
      <w:proofErr w:type="spellStart"/>
      <w:r w:rsidR="00BD745B">
        <w:t>form</w:t>
      </w:r>
      <w:proofErr w:type="spellEnd"/>
      <w:r w:rsidR="00BD745B">
        <w:t xml:space="preserve"> on-line sono declinati le attività da realizzare e i target, così da supportare il monitoraggio mensile e la valutazione di fine anno. È un modello attualmente in uso e inviato al Ministero della giustizia come buona pratica per l’eventuale diffusione</w:t>
      </w:r>
      <w:r w:rsidR="00611E32">
        <w:t>.</w:t>
      </w:r>
      <w:r w:rsidR="00A354CB">
        <w:t xml:space="preserve"> Sottolineo, inoltre, </w:t>
      </w:r>
      <w:r w:rsidR="00A354CB">
        <w:lastRenderedPageBreak/>
        <w:t>che abbiamo sviluppato un’analisi comparata tra la durata dei procedimenti in cui sono intervenuti gli AUP delle sezioni con modelli diversi da ‘</w:t>
      </w:r>
      <w:proofErr w:type="spellStart"/>
      <w:r w:rsidR="00A354CB">
        <w:t>one-to-one</w:t>
      </w:r>
      <w:proofErr w:type="spellEnd"/>
      <w:r w:rsidR="00A354CB">
        <w:t>’ e quelli conclusi senza intervento degli AUP. La base dati è stata limitata, ma i risultati hanno fatto emergere una riduzione dei tempi nei casi in cui gli AUP sono intervenuti.</w:t>
      </w:r>
    </w:p>
    <w:p w14:paraId="38AB2023" w14:textId="77777777" w:rsidR="00611E32" w:rsidRDefault="00611E32" w:rsidP="003D3B4A">
      <w:pPr>
        <w:jc w:val="both"/>
      </w:pPr>
    </w:p>
    <w:p w14:paraId="3A742702" w14:textId="31CE5CF9" w:rsidR="00EF6596" w:rsidRDefault="00EF6596" w:rsidP="003D3B4A">
      <w:pPr>
        <w:jc w:val="both"/>
      </w:pPr>
      <w:r>
        <w:t xml:space="preserve">Alcuni interventi hanno dato luogo a modelli di base che </w:t>
      </w:r>
      <w:r w:rsidR="00270CBF">
        <w:t>stanno evolvendo</w:t>
      </w:r>
      <w:r>
        <w:t xml:space="preserve"> in sinergia con altri progetti nazionali del Ministero della giustizia.</w:t>
      </w:r>
    </w:p>
    <w:p w14:paraId="79B9A25C" w14:textId="20CCE68B" w:rsidR="00EF6596" w:rsidRDefault="00EF6596" w:rsidP="003D3B4A">
      <w:pPr>
        <w:jc w:val="both"/>
      </w:pPr>
      <w:r>
        <w:t xml:space="preserve">Il primo </w:t>
      </w:r>
      <w:r w:rsidR="00A354CB">
        <w:t>riguarda lo sviluppo di un modello di cruscotto direzione (dinamico e multilivello) allacciato direttamente al SICID, per il monitoraggio dei principali indicatori. A questo fine, nel corso del progetto PON, abbiamo definito le principali caratteristiche del modello, sviluppato una serie di analisi, con tecniche di data mining, sulla durata dei procedimenti per materia e per rito, con l’individuazione dei principali colli di bott</w:t>
      </w:r>
      <w:r w:rsidR="00B5529F">
        <w:t>i</w:t>
      </w:r>
      <w:r w:rsidR="00A354CB">
        <w:t>glia</w:t>
      </w:r>
      <w:r w:rsidR="00270CBF">
        <w:t>; analisi che hanno l’obiettivo di inserire nel cruscotto anche una parte dedicata alle proiezioni</w:t>
      </w:r>
      <w:r w:rsidR="006B13D9">
        <w:t xml:space="preserve"> nel tempo, finalizzate alla programmazione</w:t>
      </w:r>
      <w:r w:rsidR="00270CBF">
        <w:t xml:space="preserve">. </w:t>
      </w:r>
      <w:r w:rsidR="00B5529F">
        <w:t xml:space="preserve">Attualmente, </w:t>
      </w:r>
      <w:r w:rsidR="005C5347">
        <w:t>la</w:t>
      </w:r>
      <w:r w:rsidR="00B5529F">
        <w:t xml:space="preserve"> Corte d’Appello di Milano sta </w:t>
      </w:r>
      <w:r w:rsidR="007239A9">
        <w:t>sostenendo</w:t>
      </w:r>
      <w:r w:rsidR="00B5529F">
        <w:t xml:space="preserve"> la possibilità di sperimentare il modello nell’ambito delle attività de</w:t>
      </w:r>
      <w:r w:rsidR="005C5347">
        <w:t>i</w:t>
      </w:r>
      <w:r w:rsidR="00B5529F">
        <w:t xml:space="preserve"> fornitor</w:t>
      </w:r>
      <w:r w:rsidR="005C5347">
        <w:t>i</w:t>
      </w:r>
      <w:r w:rsidR="00B5529F">
        <w:t xml:space="preserve"> </w:t>
      </w:r>
      <w:r w:rsidR="005C5347">
        <w:t xml:space="preserve">del Ministero della giustizia/DGSIA </w:t>
      </w:r>
      <w:r w:rsidR="00B5529F">
        <w:t>incaricat</w:t>
      </w:r>
      <w:r w:rsidR="005C5347">
        <w:t>i</w:t>
      </w:r>
      <w:r w:rsidR="00B5529F">
        <w:t xml:space="preserve"> della sperimentazione di un cruscotto direzionale.</w:t>
      </w:r>
    </w:p>
    <w:p w14:paraId="4635B7F9" w14:textId="760FC27E" w:rsidR="00270CBF" w:rsidRDefault="00270CBF" w:rsidP="003D3B4A">
      <w:pPr>
        <w:jc w:val="both"/>
      </w:pPr>
      <w:r>
        <w:t xml:space="preserve">Il secondo sviluppo riguarda il modello di pesatura dei fascicoli civili, finalizzato sia ad una maggiore equità nella distribuzione dei casi tra i magistrati, sia per poter </w:t>
      </w:r>
      <w:r w:rsidR="007239A9">
        <w:t>migliorare le analisi prognostiche (collegate al cruscotto). In questo caso la sinergia è con il progetto Data Lake della Fondazione CINI, con cui si è collaborato presso la Corte d’Appello di Milano anche per l’applicazione di una soluzione basta su AI da utilizzare per la selezione della documentazione e degli atti processuali e della giurisprudenza (in particolare la giurisprudenza di merito) a supporto del lavoro del giudice relatore (relazione introduttiva e sentenza).</w:t>
      </w:r>
    </w:p>
    <w:p w14:paraId="550C7559" w14:textId="3E655B85" w:rsidR="007E0A21" w:rsidRDefault="00317C6A" w:rsidP="003D3B4A">
      <w:pPr>
        <w:jc w:val="both"/>
      </w:pPr>
      <w:r>
        <w:t>Non ho il tempo per discutere gli altri progetti sviluppati presso il Tribunale di Milano e il Tribunale per i minorenni di Milano. Inoltre, segnalo i progetti elaborati dai colleghi delle Università Statale, Bicocca, Pavia e IUSS Pavia, Brescia, Bergamo, Insubria</w:t>
      </w:r>
      <w:r w:rsidR="000E0A20">
        <w:t xml:space="preserve">, e </w:t>
      </w:r>
      <w:proofErr w:type="spellStart"/>
      <w:r w:rsidR="000E0A20">
        <w:t>Unigenova</w:t>
      </w:r>
      <w:proofErr w:type="spellEnd"/>
      <w:r w:rsidR="000E0A20">
        <w:t xml:space="preserve">, con cui abbiamo collaborato. Infine ringrazio </w:t>
      </w:r>
      <w:r w:rsidR="00D81F0E">
        <w:t xml:space="preserve">i colleghe e colleghi di Unito, in particolare Elena D’Alessandro, Piercarlo Rossi e Francesca Ricciardi, </w:t>
      </w:r>
      <w:proofErr w:type="gramStart"/>
      <w:r w:rsidR="00D81F0E">
        <w:t>e  il</w:t>
      </w:r>
      <w:proofErr w:type="gramEnd"/>
      <w:r w:rsidR="00D81F0E">
        <w:t xml:space="preserve"> loro staff, per il coordinamento complessivo.</w:t>
      </w:r>
    </w:p>
    <w:p w14:paraId="0C71740F" w14:textId="77777777" w:rsidR="00D81F0E" w:rsidRDefault="00D81F0E" w:rsidP="003D3B4A">
      <w:pPr>
        <w:jc w:val="both"/>
      </w:pPr>
    </w:p>
    <w:p w14:paraId="39E0C3AD" w14:textId="4B6EE373" w:rsidR="00D81F0E" w:rsidRDefault="00D81F0E" w:rsidP="003D3B4A">
      <w:pPr>
        <w:jc w:val="both"/>
      </w:pPr>
      <w:r>
        <w:t>Milano, 21 ottobre 2024.</w:t>
      </w:r>
    </w:p>
    <w:p w14:paraId="4C63C61A" w14:textId="77777777" w:rsidR="001009B2" w:rsidRDefault="001009B2" w:rsidP="003D3B4A">
      <w:pPr>
        <w:jc w:val="both"/>
      </w:pPr>
    </w:p>
    <w:p w14:paraId="4329FA97" w14:textId="77777777" w:rsidR="00F51831" w:rsidRDefault="00F51831"/>
    <w:p w14:paraId="78A2F1DF" w14:textId="77777777" w:rsidR="00F51831" w:rsidRDefault="00F51831"/>
    <w:p w14:paraId="2F09C640" w14:textId="77777777" w:rsidR="00F51831" w:rsidRDefault="00F51831"/>
    <w:p w14:paraId="241786B7" w14:textId="77777777" w:rsidR="00F51831" w:rsidRDefault="00F51831"/>
    <w:p w14:paraId="1D884D60" w14:textId="77777777" w:rsidR="00F51831" w:rsidRDefault="00F51831"/>
    <w:p w14:paraId="3DC7D938" w14:textId="77777777" w:rsidR="00F51831" w:rsidRDefault="00F51831"/>
    <w:p w14:paraId="0E629523" w14:textId="77777777" w:rsidR="00F51831" w:rsidRDefault="00F51831"/>
    <w:p w14:paraId="579DA3D0" w14:textId="77777777" w:rsidR="00F51831" w:rsidRDefault="00F51831"/>
    <w:sectPr w:rsidR="00F51831" w:rsidSect="00466C03">
      <w:footerReference w:type="even" r:id="rId7"/>
      <w:footerReference w:type="default" r:id="rId8"/>
      <w:pgSz w:w="11906" w:h="16838"/>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1E7DC" w14:textId="77777777" w:rsidR="00EA1F6E" w:rsidRDefault="00EA1F6E" w:rsidP="005500F4">
      <w:r>
        <w:separator/>
      </w:r>
    </w:p>
  </w:endnote>
  <w:endnote w:type="continuationSeparator" w:id="0">
    <w:p w14:paraId="3C2D21B1" w14:textId="77777777" w:rsidR="00EA1F6E" w:rsidRDefault="00EA1F6E" w:rsidP="00550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2070072202"/>
      <w:docPartObj>
        <w:docPartGallery w:val="Page Numbers (Bottom of Page)"/>
        <w:docPartUnique/>
      </w:docPartObj>
    </w:sdtPr>
    <w:sdtEndPr>
      <w:rPr>
        <w:rStyle w:val="Numeropagina"/>
      </w:rPr>
    </w:sdtEndPr>
    <w:sdtContent>
      <w:p w14:paraId="30498BF3" w14:textId="3227D8B7" w:rsidR="005500F4" w:rsidRDefault="005500F4" w:rsidP="00B3189E">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7AE4A2E1" w14:textId="77777777" w:rsidR="005500F4" w:rsidRDefault="005500F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535119174"/>
      <w:docPartObj>
        <w:docPartGallery w:val="Page Numbers (Bottom of Page)"/>
        <w:docPartUnique/>
      </w:docPartObj>
    </w:sdtPr>
    <w:sdtEndPr>
      <w:rPr>
        <w:rStyle w:val="Numeropagina"/>
      </w:rPr>
    </w:sdtEndPr>
    <w:sdtContent>
      <w:p w14:paraId="1BB13B7C" w14:textId="02866E26" w:rsidR="005500F4" w:rsidRDefault="005500F4" w:rsidP="00B3189E">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59B54F54" w14:textId="77777777" w:rsidR="005500F4" w:rsidRDefault="005500F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096C7" w14:textId="77777777" w:rsidR="00EA1F6E" w:rsidRDefault="00EA1F6E" w:rsidP="005500F4">
      <w:r>
        <w:separator/>
      </w:r>
    </w:p>
  </w:footnote>
  <w:footnote w:type="continuationSeparator" w:id="0">
    <w:p w14:paraId="444AEF0E" w14:textId="77777777" w:rsidR="00EA1F6E" w:rsidRDefault="00EA1F6E" w:rsidP="005500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00B"/>
    <w:rsid w:val="000E0A20"/>
    <w:rsid w:val="001009B2"/>
    <w:rsid w:val="0019179B"/>
    <w:rsid w:val="00270CBF"/>
    <w:rsid w:val="002C0F95"/>
    <w:rsid w:val="00317C6A"/>
    <w:rsid w:val="003A5FBE"/>
    <w:rsid w:val="003D3B4A"/>
    <w:rsid w:val="004150A6"/>
    <w:rsid w:val="0044499C"/>
    <w:rsid w:val="00466C03"/>
    <w:rsid w:val="005500F4"/>
    <w:rsid w:val="00562B0C"/>
    <w:rsid w:val="00576E16"/>
    <w:rsid w:val="005A77E4"/>
    <w:rsid w:val="005C5347"/>
    <w:rsid w:val="00611E32"/>
    <w:rsid w:val="006B13D9"/>
    <w:rsid w:val="007239A9"/>
    <w:rsid w:val="00734B75"/>
    <w:rsid w:val="007E0A21"/>
    <w:rsid w:val="00887C98"/>
    <w:rsid w:val="0089204D"/>
    <w:rsid w:val="008956A3"/>
    <w:rsid w:val="00995B1D"/>
    <w:rsid w:val="009A2F33"/>
    <w:rsid w:val="009D1AE9"/>
    <w:rsid w:val="009E300B"/>
    <w:rsid w:val="00A354CB"/>
    <w:rsid w:val="00A9706E"/>
    <w:rsid w:val="00B10FAD"/>
    <w:rsid w:val="00B5529F"/>
    <w:rsid w:val="00BD745B"/>
    <w:rsid w:val="00C05423"/>
    <w:rsid w:val="00CC1222"/>
    <w:rsid w:val="00D26D7C"/>
    <w:rsid w:val="00D81F0E"/>
    <w:rsid w:val="00E17D60"/>
    <w:rsid w:val="00E328F9"/>
    <w:rsid w:val="00E50EB7"/>
    <w:rsid w:val="00EA1F6E"/>
    <w:rsid w:val="00EF6596"/>
    <w:rsid w:val="00F4210D"/>
    <w:rsid w:val="00F51831"/>
    <w:rsid w:val="00F65D5A"/>
    <w:rsid w:val="00F76E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A2B5E"/>
  <w15:chartTrackingRefBased/>
  <w15:docId w15:val="{39F53416-4C31-154C-AF70-EA271441F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E30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E30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E300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E300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E300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E300B"/>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E300B"/>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E300B"/>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E300B"/>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E300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E300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E300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E300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E300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E300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E300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E300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E300B"/>
    <w:rPr>
      <w:rFonts w:eastAsiaTheme="majorEastAsia" w:cstheme="majorBidi"/>
      <w:color w:val="272727" w:themeColor="text1" w:themeTint="D8"/>
    </w:rPr>
  </w:style>
  <w:style w:type="paragraph" w:styleId="Titolo">
    <w:name w:val="Title"/>
    <w:basedOn w:val="Normale"/>
    <w:next w:val="Normale"/>
    <w:link w:val="TitoloCarattere"/>
    <w:uiPriority w:val="10"/>
    <w:qFormat/>
    <w:rsid w:val="009E300B"/>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E300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E300B"/>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E300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E300B"/>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9E300B"/>
    <w:rPr>
      <w:i/>
      <w:iCs/>
      <w:color w:val="404040" w:themeColor="text1" w:themeTint="BF"/>
    </w:rPr>
  </w:style>
  <w:style w:type="paragraph" w:styleId="Paragrafoelenco">
    <w:name w:val="List Paragraph"/>
    <w:basedOn w:val="Normale"/>
    <w:uiPriority w:val="34"/>
    <w:qFormat/>
    <w:rsid w:val="009E300B"/>
    <w:pPr>
      <w:ind w:left="720"/>
      <w:contextualSpacing/>
    </w:pPr>
  </w:style>
  <w:style w:type="character" w:styleId="Enfasiintensa">
    <w:name w:val="Intense Emphasis"/>
    <w:basedOn w:val="Carpredefinitoparagrafo"/>
    <w:uiPriority w:val="21"/>
    <w:qFormat/>
    <w:rsid w:val="009E300B"/>
    <w:rPr>
      <w:i/>
      <w:iCs/>
      <w:color w:val="0F4761" w:themeColor="accent1" w:themeShade="BF"/>
    </w:rPr>
  </w:style>
  <w:style w:type="paragraph" w:styleId="Citazioneintensa">
    <w:name w:val="Intense Quote"/>
    <w:basedOn w:val="Normale"/>
    <w:next w:val="Normale"/>
    <w:link w:val="CitazioneintensaCarattere"/>
    <w:uiPriority w:val="30"/>
    <w:qFormat/>
    <w:rsid w:val="009E30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E300B"/>
    <w:rPr>
      <w:i/>
      <w:iCs/>
      <w:color w:val="0F4761" w:themeColor="accent1" w:themeShade="BF"/>
    </w:rPr>
  </w:style>
  <w:style w:type="character" w:styleId="Riferimentointenso">
    <w:name w:val="Intense Reference"/>
    <w:basedOn w:val="Carpredefinitoparagrafo"/>
    <w:uiPriority w:val="32"/>
    <w:qFormat/>
    <w:rsid w:val="009E300B"/>
    <w:rPr>
      <w:b/>
      <w:bCs/>
      <w:smallCaps/>
      <w:color w:val="0F4761" w:themeColor="accent1" w:themeShade="BF"/>
      <w:spacing w:val="5"/>
    </w:rPr>
  </w:style>
  <w:style w:type="paragraph" w:styleId="Pidipagina">
    <w:name w:val="footer"/>
    <w:basedOn w:val="Normale"/>
    <w:link w:val="PidipaginaCarattere"/>
    <w:uiPriority w:val="99"/>
    <w:unhideWhenUsed/>
    <w:rsid w:val="005500F4"/>
    <w:pPr>
      <w:tabs>
        <w:tab w:val="center" w:pos="4819"/>
        <w:tab w:val="right" w:pos="9638"/>
      </w:tabs>
    </w:pPr>
  </w:style>
  <w:style w:type="character" w:customStyle="1" w:styleId="PidipaginaCarattere">
    <w:name w:val="Piè di pagina Carattere"/>
    <w:basedOn w:val="Carpredefinitoparagrafo"/>
    <w:link w:val="Pidipagina"/>
    <w:uiPriority w:val="99"/>
    <w:rsid w:val="005500F4"/>
  </w:style>
  <w:style w:type="character" w:styleId="Numeropagina">
    <w:name w:val="page number"/>
    <w:basedOn w:val="Carpredefinitoparagrafo"/>
    <w:uiPriority w:val="99"/>
    <w:semiHidden/>
    <w:unhideWhenUsed/>
    <w:rsid w:val="005500F4"/>
  </w:style>
  <w:style w:type="character" w:styleId="Collegamentoipertestuale">
    <w:name w:val="Hyperlink"/>
    <w:basedOn w:val="Carpredefinitoparagrafo"/>
    <w:uiPriority w:val="99"/>
    <w:unhideWhenUsed/>
    <w:rsid w:val="005500F4"/>
    <w:rPr>
      <w:color w:val="467886" w:themeColor="hyperlink"/>
      <w:u w:val="single"/>
    </w:rPr>
  </w:style>
  <w:style w:type="character" w:styleId="Menzionenonrisolta">
    <w:name w:val="Unresolved Mention"/>
    <w:basedOn w:val="Carpredefinitoparagrafo"/>
    <w:uiPriority w:val="99"/>
    <w:semiHidden/>
    <w:unhideWhenUsed/>
    <w:rsid w:val="005500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iancarlo.vecchi@polimi.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880</Words>
  <Characters>5019</Characters>
  <Application>Microsoft Office Word</Application>
  <DocSecurity>0</DocSecurity>
  <Lines>41</Lines>
  <Paragraphs>11</Paragraphs>
  <ScaleCrop>false</ScaleCrop>
  <Company/>
  <LinksUpToDate>false</LinksUpToDate>
  <CharactersWithSpaces>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Vecchi</dc:creator>
  <cp:keywords/>
  <dc:description/>
  <cp:lastModifiedBy>Monica Iezzi</cp:lastModifiedBy>
  <cp:revision>2</cp:revision>
  <dcterms:created xsi:type="dcterms:W3CDTF">2024-10-29T11:06:00Z</dcterms:created>
  <dcterms:modified xsi:type="dcterms:W3CDTF">2024-10-29T11:06:00Z</dcterms:modified>
</cp:coreProperties>
</file>