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28475" w14:textId="6E892B51" w:rsidR="00A44A1C" w:rsidRDefault="00A44A1C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G – Griglia dei criteri e dei punteggi di valutazione</w:t>
      </w:r>
    </w:p>
    <w:p w14:paraId="0C2DAA69" w14:textId="77777777" w:rsidR="00A44A1C" w:rsidRDefault="00A44A1C">
      <w:pPr>
        <w:spacing w:after="120" w:line="276" w:lineRule="auto"/>
        <w:jc w:val="both"/>
        <w:divId w:val="1368220291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Le proposte progettuali ammissibili sono valutate dalla Commissione sulla base dei criteri di seguito indicati, per un punteggio massimo complessivo pari a </w:t>
      </w:r>
      <w:proofErr w:type="gramStart"/>
      <w:r>
        <w:rPr>
          <w:rFonts w:ascii="Times New Roman" w:hAnsi="Times New Roman" w:cs="Times New Roman"/>
          <w:sz w:val="24"/>
          <w:szCs w:val="24"/>
        </w:rPr>
        <w:t>100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punti.</w:t>
      </w:r>
    </w:p>
    <w:p w14:paraId="4EEF42A1" w14:textId="77777777" w:rsidR="00A44A1C" w:rsidRDefault="00A44A1C">
      <w:pPr>
        <w:spacing w:after="120" w:line="276" w:lineRule="auto"/>
        <w:jc w:val="both"/>
        <w:divId w:val="1368220291"/>
      </w:pPr>
      <w:r>
        <w:rPr>
          <w:rFonts w:ascii="Times New Roman" w:hAnsi="Times New Roman" w:cs="Times New Roman"/>
          <w:sz w:val="24"/>
          <w:szCs w:val="24"/>
        </w:rPr>
        <w:t>Sono considerate finanziabili esclusivamente le proposte che conseguono un punteggio complessivo non inferiore a 60/100, fermo restando il possesso dei requisiti di ammissibilità e la disponibilità delle risorse.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5386"/>
        <w:gridCol w:w="1261"/>
      </w:tblGrid>
      <w:tr w:rsidR="00A44A1C" w14:paraId="1A91C345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4BDBF514" w14:textId="77777777" w:rsidR="00A44A1C" w:rsidRDefault="00A44A1C">
            <w:r>
              <w:rPr>
                <w:b/>
                <w:bCs/>
              </w:rPr>
              <w:t>Criterio di valutazione</w:t>
            </w:r>
          </w:p>
        </w:tc>
        <w:tc>
          <w:tcPr>
            <w:tcW w:w="0" w:type="auto"/>
            <w:vAlign w:val="center"/>
            <w:hideMark/>
          </w:tcPr>
          <w:p w14:paraId="5055CAE5" w14:textId="77777777" w:rsidR="00A44A1C" w:rsidRDefault="00A44A1C">
            <w:r>
              <w:rPr>
                <w:b/>
                <w:bCs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14:paraId="065589BD" w14:textId="77777777" w:rsidR="00A44A1C" w:rsidRDefault="00A44A1C">
            <w:r>
              <w:rPr>
                <w:b/>
                <w:bCs/>
              </w:rPr>
              <w:t>Punteggio massimo</w:t>
            </w:r>
          </w:p>
        </w:tc>
      </w:tr>
      <w:tr w:rsidR="00A44A1C" w14:paraId="7FFDE586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64FCFCF7" w14:textId="77777777" w:rsidR="00A44A1C" w:rsidRDefault="00A44A1C">
            <w:r>
              <w:t>1. Coerenza con le finalità del Fondo</w:t>
            </w:r>
          </w:p>
        </w:tc>
        <w:tc>
          <w:tcPr>
            <w:tcW w:w="0" w:type="auto"/>
            <w:vAlign w:val="center"/>
            <w:hideMark/>
          </w:tcPr>
          <w:p w14:paraId="588173D5" w14:textId="77777777" w:rsidR="00A44A1C" w:rsidRDefault="00A44A1C">
            <w:r>
              <w:t>Livello di coerenza dell’iniziativa rispetto agli obiettivi di contrasto alla criminalità organizzata, promozione della legalità e rafforzamento della prevenzione.</w:t>
            </w:r>
          </w:p>
        </w:tc>
        <w:tc>
          <w:tcPr>
            <w:tcW w:w="0" w:type="auto"/>
            <w:vAlign w:val="center"/>
            <w:hideMark/>
          </w:tcPr>
          <w:p w14:paraId="7945A5FD" w14:textId="77777777" w:rsidR="00A44A1C" w:rsidRDefault="00A44A1C" w:rsidP="0046780F">
            <w:pPr>
              <w:jc w:val="center"/>
            </w:pPr>
            <w:r>
              <w:t>20</w:t>
            </w:r>
          </w:p>
        </w:tc>
      </w:tr>
      <w:tr w:rsidR="00A44A1C" w14:paraId="7A10D6F5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4A5B4761" w14:textId="77777777" w:rsidR="00A44A1C" w:rsidRDefault="00A44A1C">
            <w:r>
              <w:t>2. Qualità tecnica e metodologica del progetto</w:t>
            </w:r>
          </w:p>
        </w:tc>
        <w:tc>
          <w:tcPr>
            <w:tcW w:w="0" w:type="auto"/>
            <w:vAlign w:val="center"/>
            <w:hideMark/>
          </w:tcPr>
          <w:p w14:paraId="2ACE3E43" w14:textId="77777777" w:rsidR="00A44A1C" w:rsidRDefault="00A44A1C">
            <w:r>
              <w:t>Chiarezza progettuale, adeguatezza del metodo, articolazione delle attività, solidità del cronoprogramma e fattibilità complessiva.</w:t>
            </w:r>
          </w:p>
        </w:tc>
        <w:tc>
          <w:tcPr>
            <w:tcW w:w="0" w:type="auto"/>
            <w:vAlign w:val="center"/>
            <w:hideMark/>
          </w:tcPr>
          <w:p w14:paraId="45376B01" w14:textId="77777777" w:rsidR="00A44A1C" w:rsidRDefault="00A44A1C" w:rsidP="0046780F">
            <w:pPr>
              <w:jc w:val="center"/>
            </w:pPr>
            <w:r>
              <w:t>20</w:t>
            </w:r>
          </w:p>
        </w:tc>
      </w:tr>
      <w:tr w:rsidR="00A44A1C" w14:paraId="194EC96F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73136DC9" w14:textId="77777777" w:rsidR="00A44A1C" w:rsidRDefault="00A44A1C">
            <w:r>
              <w:t>3. Impatto atteso e misurabilità dei risultati</w:t>
            </w:r>
          </w:p>
        </w:tc>
        <w:tc>
          <w:tcPr>
            <w:tcW w:w="0" w:type="auto"/>
            <w:vAlign w:val="center"/>
            <w:hideMark/>
          </w:tcPr>
          <w:p w14:paraId="4B67B0BB" w14:textId="77777777" w:rsidR="00A44A1C" w:rsidRDefault="00A44A1C">
            <w:r>
              <w:t>Capacità del progetto di produrre risultati verificabili, rilevanza dei destinatari raggiunti e adeguatezza degli indicatori previsti.</w:t>
            </w:r>
          </w:p>
        </w:tc>
        <w:tc>
          <w:tcPr>
            <w:tcW w:w="0" w:type="auto"/>
            <w:vAlign w:val="center"/>
            <w:hideMark/>
          </w:tcPr>
          <w:p w14:paraId="63F3C162" w14:textId="77777777" w:rsidR="00A44A1C" w:rsidRDefault="00A44A1C" w:rsidP="0046780F">
            <w:pPr>
              <w:jc w:val="center"/>
            </w:pPr>
            <w:r>
              <w:t>20</w:t>
            </w:r>
          </w:p>
        </w:tc>
      </w:tr>
      <w:tr w:rsidR="00A44A1C" w14:paraId="248A8946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7E927253" w14:textId="77777777" w:rsidR="00A44A1C" w:rsidRDefault="00A44A1C">
            <w:r>
              <w:t>4. Esperienza e qualificazione del soggetto proponente</w:t>
            </w:r>
          </w:p>
        </w:tc>
        <w:tc>
          <w:tcPr>
            <w:tcW w:w="0" w:type="auto"/>
            <w:vAlign w:val="center"/>
            <w:hideMark/>
          </w:tcPr>
          <w:p w14:paraId="5338D389" w14:textId="77777777" w:rsidR="00A44A1C" w:rsidRDefault="00A44A1C">
            <w:r>
              <w:t>Esperienza maturata in iniziative analoghe, adeguatezza organizzativa e qualificazione dei soggetti coinvolti.</w:t>
            </w:r>
          </w:p>
        </w:tc>
        <w:tc>
          <w:tcPr>
            <w:tcW w:w="0" w:type="auto"/>
            <w:vAlign w:val="center"/>
            <w:hideMark/>
          </w:tcPr>
          <w:p w14:paraId="46181280" w14:textId="77777777" w:rsidR="00A44A1C" w:rsidRDefault="00A44A1C" w:rsidP="0046780F">
            <w:pPr>
              <w:jc w:val="center"/>
            </w:pPr>
            <w:r>
              <w:t>15</w:t>
            </w:r>
          </w:p>
        </w:tc>
      </w:tr>
      <w:tr w:rsidR="00A44A1C" w14:paraId="32B0FD14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71C114EC" w14:textId="77777777" w:rsidR="00A44A1C" w:rsidRDefault="00A44A1C">
            <w:r>
              <w:t>5. Sostenibilità economica e congruità dei costi</w:t>
            </w:r>
          </w:p>
        </w:tc>
        <w:tc>
          <w:tcPr>
            <w:tcW w:w="0" w:type="auto"/>
            <w:vAlign w:val="center"/>
            <w:hideMark/>
          </w:tcPr>
          <w:p w14:paraId="174CA16A" w14:textId="77777777" w:rsidR="00A44A1C" w:rsidRDefault="00A44A1C">
            <w:r>
              <w:t>Coerenza del piano finanziario rispetto alle attività, equilibrio tra costi e risultati attesi, adeguatezza della quantificazione delle spese.</w:t>
            </w:r>
          </w:p>
        </w:tc>
        <w:tc>
          <w:tcPr>
            <w:tcW w:w="0" w:type="auto"/>
            <w:vAlign w:val="center"/>
            <w:hideMark/>
          </w:tcPr>
          <w:p w14:paraId="71D926C3" w14:textId="77777777" w:rsidR="00A44A1C" w:rsidRDefault="00A44A1C" w:rsidP="0046780F">
            <w:pPr>
              <w:jc w:val="center"/>
            </w:pPr>
            <w:r>
              <w:t>15</w:t>
            </w:r>
          </w:p>
        </w:tc>
      </w:tr>
      <w:tr w:rsidR="00A44A1C" w14:paraId="40993803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4AE9B405" w14:textId="77777777" w:rsidR="00A44A1C" w:rsidRDefault="00A44A1C">
            <w:r>
              <w:t>6. Partenariati qualificati e capacità di rete</w:t>
            </w:r>
          </w:p>
        </w:tc>
        <w:tc>
          <w:tcPr>
            <w:tcW w:w="0" w:type="auto"/>
            <w:vAlign w:val="center"/>
            <w:hideMark/>
          </w:tcPr>
          <w:p w14:paraId="02ABEFCC" w14:textId="77777777" w:rsidR="00A44A1C" w:rsidRDefault="00A44A1C">
            <w:r>
              <w:t>Presenza di collaborazioni istituzionali o territoriali rilevanti, idonee a rafforzare l’efficacia e la diffusione dell’intervento.</w:t>
            </w:r>
          </w:p>
        </w:tc>
        <w:tc>
          <w:tcPr>
            <w:tcW w:w="0" w:type="auto"/>
            <w:vAlign w:val="center"/>
            <w:hideMark/>
          </w:tcPr>
          <w:p w14:paraId="191B1FA2" w14:textId="77777777" w:rsidR="00A44A1C" w:rsidRDefault="00A44A1C" w:rsidP="0046780F">
            <w:pPr>
              <w:jc w:val="center"/>
            </w:pPr>
            <w:r>
              <w:t>10</w:t>
            </w:r>
          </w:p>
        </w:tc>
      </w:tr>
      <w:tr w:rsidR="00A44A1C" w14:paraId="57849F53" w14:textId="77777777">
        <w:trPr>
          <w:divId w:val="1368220291"/>
          <w:tblCellSpacing w:w="15" w:type="dxa"/>
        </w:trPr>
        <w:tc>
          <w:tcPr>
            <w:tcW w:w="0" w:type="auto"/>
            <w:vAlign w:val="center"/>
            <w:hideMark/>
          </w:tcPr>
          <w:p w14:paraId="5106915F" w14:textId="77777777" w:rsidR="00A44A1C" w:rsidRDefault="00A44A1C">
            <w:r>
              <w:rPr>
                <w:b/>
                <w:bCs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403D1E4" w14:textId="77777777" w:rsidR="00A44A1C" w:rsidRDefault="00A44A1C"/>
        </w:tc>
        <w:tc>
          <w:tcPr>
            <w:tcW w:w="0" w:type="auto"/>
            <w:vAlign w:val="center"/>
            <w:hideMark/>
          </w:tcPr>
          <w:p w14:paraId="2197CC48" w14:textId="77777777" w:rsidR="00A44A1C" w:rsidRDefault="00A44A1C" w:rsidP="0046780F">
            <w:pPr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</w:rPr>
              <w:t>100</w:t>
            </w:r>
          </w:p>
        </w:tc>
      </w:tr>
    </w:tbl>
    <w:p w14:paraId="15E123B3" w14:textId="77777777" w:rsidR="00A44A1C" w:rsidRDefault="00A44A1C">
      <w:pPr>
        <w:spacing w:after="120" w:line="276" w:lineRule="auto"/>
        <w:jc w:val="both"/>
        <w:divId w:val="1368220291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Criteri di precedenza in caso di parità di punteggio</w:t>
      </w:r>
    </w:p>
    <w:p w14:paraId="5678B3F3" w14:textId="747C0460" w:rsidR="00E41BA4" w:rsidRDefault="00764EB2">
      <w:pPr>
        <w:pStyle w:val="Normale2"/>
        <w:spacing w:after="120" w:line="276" w:lineRule="auto"/>
        <w:jc w:val="both"/>
        <w:divId w:val="136822029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parità di punteggio, costituiscono criteri di precedenza, nell’ordine: a) maggiore punteggio conseguito nel criterio “Impatto atteso e misurabilità dei risultati”; b) maggiore punteggio conseguito nel criterio “Coerenza con le finalità del Fondo”;</w:t>
      </w:r>
      <w:r w:rsidR="00E950FF">
        <w:rPr>
          <w:rFonts w:ascii="Times New Roman" w:hAnsi="Times New Roman" w:cs="Times New Roman"/>
          <w:sz w:val="24"/>
          <w:szCs w:val="24"/>
        </w:rPr>
        <w:t xml:space="preserve"> c</w:t>
      </w:r>
      <w:r w:rsidR="0050415C" w:rsidRPr="0050415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minore importo del contributo richiesto a parità di risultati attesi; </w:t>
      </w:r>
      <w:r w:rsidR="00E950F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 ordine cronologico di presentazione della domanda.</w:t>
      </w:r>
    </w:p>
    <w:p w14:paraId="56F89B2C" w14:textId="77777777" w:rsidR="00A44A1C" w:rsidRDefault="00A44A1C">
      <w:pPr>
        <w:spacing w:after="120" w:line="276" w:lineRule="auto"/>
        <w:jc w:val="both"/>
        <w:divId w:val="1368220291"/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1A65DA00" w14:textId="77777777" w:rsidR="00A44A1C" w:rsidRDefault="00A44A1C">
      <w:pPr>
        <w:spacing w:after="120" w:line="276" w:lineRule="auto"/>
        <w:jc w:val="both"/>
        <w:divId w:val="1368220291"/>
      </w:pPr>
      <w:r>
        <w:rPr>
          <w:rFonts w:ascii="Times New Roman" w:hAnsi="Times New Roman" w:cs="Times New Roman"/>
          <w:sz w:val="24"/>
          <w:szCs w:val="24"/>
        </w:rPr>
        <w:t>Punteggio complessivo attribuito: ____________ / 100</w:t>
      </w:r>
    </w:p>
    <w:p w14:paraId="506904DF" w14:textId="77777777" w:rsidR="00A44A1C" w:rsidRDefault="00A44A1C">
      <w:pPr>
        <w:spacing w:after="120" w:line="276" w:lineRule="auto"/>
        <w:jc w:val="both"/>
        <w:divId w:val="1368220291"/>
      </w:pPr>
      <w:r>
        <w:rPr>
          <w:rFonts w:ascii="Times New Roman" w:hAnsi="Times New Roman" w:cs="Times New Roman"/>
          <w:sz w:val="24"/>
          <w:szCs w:val="24"/>
        </w:rPr>
        <w:t>Esito finale: □ ammesso a finanziamento □ idoneo non finanziato □ non ammesso</w:t>
      </w:r>
    </w:p>
    <w:p w14:paraId="67ECB4CD" w14:textId="77777777" w:rsidR="00A44A1C" w:rsidRDefault="00A44A1C">
      <w:pPr>
        <w:spacing w:after="120" w:line="276" w:lineRule="auto"/>
        <w:jc w:val="both"/>
        <w:divId w:val="1368220291"/>
      </w:pPr>
      <w:r>
        <w:rPr>
          <w:rFonts w:ascii="Times New Roman" w:hAnsi="Times New Roman" w:cs="Times New Roman"/>
          <w:sz w:val="24"/>
          <w:szCs w:val="24"/>
        </w:rPr>
        <w:t>Annotazioni della Commissione: _______________________________________</w:t>
      </w:r>
    </w:p>
    <w:p w14:paraId="7B452FC7" w14:textId="3FB81E6C" w:rsidR="00E41BA4" w:rsidRDefault="00E41BA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BA4" w:rsidSect="00D528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590F4" w14:textId="77777777" w:rsidR="00621A16" w:rsidRDefault="00621A16" w:rsidP="00715DAE">
      <w:pPr>
        <w:spacing w:after="0" w:line="240" w:lineRule="auto"/>
      </w:pPr>
      <w:r>
        <w:separator/>
      </w:r>
    </w:p>
  </w:endnote>
  <w:endnote w:type="continuationSeparator" w:id="0">
    <w:p w14:paraId="0BD6ACF2" w14:textId="77777777" w:rsidR="00621A16" w:rsidRDefault="00621A16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CA24" w14:textId="77777777" w:rsidR="00927198" w:rsidRDefault="009271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EndPr/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78FB" w14:textId="77777777" w:rsidR="00927198" w:rsidRDefault="00927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5F4E" w14:textId="77777777" w:rsidR="00621A16" w:rsidRDefault="00621A16" w:rsidP="00715DAE">
      <w:pPr>
        <w:spacing w:after="0" w:line="240" w:lineRule="auto"/>
      </w:pPr>
      <w:r>
        <w:separator/>
      </w:r>
    </w:p>
  </w:footnote>
  <w:footnote w:type="continuationSeparator" w:id="0">
    <w:p w14:paraId="712ECFF3" w14:textId="77777777" w:rsidR="00621A16" w:rsidRDefault="00621A16" w:rsidP="0071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69BB" w14:textId="77777777" w:rsidR="00927198" w:rsidRDefault="009271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E927" w14:textId="77777777" w:rsidR="00927198" w:rsidRDefault="0092719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92BE" w14:textId="77777777" w:rsidR="00927198" w:rsidRDefault="009271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5122D"/>
    <w:rsid w:val="00151566"/>
    <w:rsid w:val="00153A2B"/>
    <w:rsid w:val="001571FC"/>
    <w:rsid w:val="00161A76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4903"/>
    <w:rsid w:val="00311371"/>
    <w:rsid w:val="003137B5"/>
    <w:rsid w:val="003153CA"/>
    <w:rsid w:val="003157AB"/>
    <w:rsid w:val="00321A86"/>
    <w:rsid w:val="00327070"/>
    <w:rsid w:val="00330797"/>
    <w:rsid w:val="003350D0"/>
    <w:rsid w:val="00335A39"/>
    <w:rsid w:val="00335E11"/>
    <w:rsid w:val="00340012"/>
    <w:rsid w:val="00340563"/>
    <w:rsid w:val="00340C17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7286"/>
    <w:rsid w:val="00390BB1"/>
    <w:rsid w:val="003A230D"/>
    <w:rsid w:val="003A67D9"/>
    <w:rsid w:val="003B014D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5A06"/>
    <w:rsid w:val="00547C1E"/>
    <w:rsid w:val="00553C50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559"/>
    <w:rsid w:val="00593C00"/>
    <w:rsid w:val="00594EA0"/>
    <w:rsid w:val="00596D29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4E9C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1A16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23D2"/>
    <w:rsid w:val="009B6FC9"/>
    <w:rsid w:val="009B6FD3"/>
    <w:rsid w:val="009C0160"/>
    <w:rsid w:val="009C0417"/>
    <w:rsid w:val="009C10BC"/>
    <w:rsid w:val="009C3256"/>
    <w:rsid w:val="009C4E06"/>
    <w:rsid w:val="009E0199"/>
    <w:rsid w:val="009E0E98"/>
    <w:rsid w:val="009E12FD"/>
    <w:rsid w:val="009E1386"/>
    <w:rsid w:val="009E16CA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254"/>
    <w:rsid w:val="00C14598"/>
    <w:rsid w:val="00C14EA6"/>
    <w:rsid w:val="00C16FEE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E142D"/>
    <w:rsid w:val="00DE1691"/>
    <w:rsid w:val="00DE7ECB"/>
    <w:rsid w:val="00DF1645"/>
    <w:rsid w:val="00DF2D9F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3EE5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3C29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  <w15:docId w15:val="{07A7DD59-7646-42F7-8099-F141A09D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5FEA18-4D00-4ADD-A8B4-CB09500F5363}"/>
</file>

<file path=customXml/itemProps3.xml><?xml version="1.0" encoding="utf-8"?>
<ds:datastoreItem xmlns:ds="http://schemas.openxmlformats.org/officeDocument/2006/customXml" ds:itemID="{E6868611-B147-452E-86D4-7EB2E5181D18}"/>
</file>

<file path=customXml/itemProps4.xml><?xml version="1.0" encoding="utf-8"?>
<ds:datastoreItem xmlns:ds="http://schemas.openxmlformats.org/officeDocument/2006/customXml" ds:itemID="{909AF814-F820-4363-B93D-45C67A649B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Bedetta</dc:creator>
  <cp:keywords/>
  <dc:description/>
  <cp:lastModifiedBy>Lucio Bedetta</cp:lastModifiedBy>
  <cp:revision>3</cp:revision>
  <cp:lastPrinted>2026-09-14T15:17:00Z</cp:lastPrinted>
  <dcterms:created xsi:type="dcterms:W3CDTF">2026-09-15T08:11:00Z</dcterms:created>
  <dcterms:modified xsi:type="dcterms:W3CDTF">2026-09-15T08:16:00Z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