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98D" w:rsidRDefault="00D2098D" w:rsidP="00D2098D">
      <w:pPr>
        <w:spacing w:after="120" w:line="240" w:lineRule="auto"/>
        <w:jc w:val="both"/>
        <w:rPr>
          <w:b/>
          <w:sz w:val="40"/>
          <w:szCs w:val="40"/>
        </w:rPr>
      </w:pPr>
      <w:r>
        <w:rPr>
          <w:b/>
          <w:color w:val="0070C0"/>
          <w:sz w:val="40"/>
          <w:szCs w:val="40"/>
        </w:rPr>
        <w:t>CICLO DI INCONTRI SULLA RIFORMA DEL PROCESSO CIVILE</w:t>
      </w:r>
    </w:p>
    <w:p w:rsidR="00D23339" w:rsidRDefault="00D23339" w:rsidP="00D2098D">
      <w:pPr>
        <w:spacing w:after="120" w:line="240" w:lineRule="auto"/>
        <w:ind w:firstLine="425"/>
      </w:pPr>
    </w:p>
    <w:p w:rsidR="00D23339" w:rsidRDefault="00D23339" w:rsidP="00D2098D">
      <w:pPr>
        <w:spacing w:after="120" w:line="240" w:lineRule="auto"/>
        <w:ind w:firstLine="425"/>
      </w:pPr>
    </w:p>
    <w:p w:rsidR="00D23339" w:rsidRDefault="00D23339" w:rsidP="00D2098D">
      <w:pPr>
        <w:spacing w:after="120" w:line="240" w:lineRule="auto"/>
        <w:ind w:firstLine="425"/>
      </w:pPr>
    </w:p>
    <w:p w:rsidR="00D23339" w:rsidRDefault="00D23339" w:rsidP="00D2098D">
      <w:pPr>
        <w:spacing w:after="120" w:line="240" w:lineRule="auto"/>
        <w:ind w:firstLine="425"/>
      </w:pPr>
    </w:p>
    <w:p w:rsidR="00D23339" w:rsidRDefault="00D23339" w:rsidP="00D2098D">
      <w:pPr>
        <w:spacing w:after="120" w:line="240" w:lineRule="auto"/>
        <w:jc w:val="center"/>
        <w:rPr>
          <w:b/>
          <w:color w:val="0070C0"/>
          <w:sz w:val="32"/>
          <w:szCs w:val="32"/>
        </w:rPr>
      </w:pPr>
      <w:r>
        <w:rPr>
          <w:b/>
          <w:color w:val="0070C0"/>
          <w:sz w:val="32"/>
          <w:szCs w:val="32"/>
        </w:rPr>
        <w:t>Materia</w:t>
      </w:r>
      <w:r w:rsidR="00487786">
        <w:rPr>
          <w:b/>
          <w:color w:val="0070C0"/>
          <w:sz w:val="32"/>
          <w:szCs w:val="32"/>
        </w:rPr>
        <w:t xml:space="preserve">le di supporto al webinar del </w:t>
      </w:r>
      <w:r w:rsidR="006B0C90">
        <w:rPr>
          <w:b/>
          <w:color w:val="0070C0"/>
          <w:sz w:val="32"/>
          <w:szCs w:val="32"/>
        </w:rPr>
        <w:t>9 giugno</w:t>
      </w:r>
      <w:r>
        <w:rPr>
          <w:b/>
          <w:color w:val="0070C0"/>
          <w:sz w:val="32"/>
          <w:szCs w:val="32"/>
        </w:rPr>
        <w:t xml:space="preserve"> 2023</w:t>
      </w:r>
    </w:p>
    <w:p w:rsidR="00D23339" w:rsidRDefault="00D23339" w:rsidP="00D2098D">
      <w:pPr>
        <w:spacing w:after="120" w:line="240" w:lineRule="auto"/>
        <w:jc w:val="center"/>
        <w:rPr>
          <w:b/>
          <w:color w:val="0070C0"/>
          <w:sz w:val="24"/>
          <w:szCs w:val="24"/>
        </w:rPr>
      </w:pPr>
      <w:r>
        <w:rPr>
          <w:b/>
          <w:color w:val="0070C0"/>
          <w:sz w:val="24"/>
          <w:szCs w:val="24"/>
        </w:rPr>
        <w:t>(a cura del personale di ricerca UNITE)</w:t>
      </w:r>
    </w:p>
    <w:p w:rsidR="00D23339" w:rsidRDefault="00D23339" w:rsidP="00D2098D">
      <w:pPr>
        <w:spacing w:after="120" w:line="240" w:lineRule="auto"/>
        <w:ind w:firstLine="425"/>
        <w:jc w:val="center"/>
        <w:rPr>
          <w:b/>
          <w:color w:val="0070C0"/>
          <w:sz w:val="40"/>
          <w:szCs w:val="40"/>
        </w:rPr>
      </w:pPr>
    </w:p>
    <w:p w:rsidR="00D23339" w:rsidRDefault="00D23339" w:rsidP="00D2098D">
      <w:pPr>
        <w:spacing w:after="120" w:line="240" w:lineRule="auto"/>
        <w:ind w:firstLine="425"/>
        <w:jc w:val="center"/>
        <w:rPr>
          <w:b/>
          <w:color w:val="0070C0"/>
          <w:sz w:val="40"/>
          <w:szCs w:val="40"/>
        </w:rPr>
      </w:pPr>
    </w:p>
    <w:p w:rsidR="00D23339" w:rsidRDefault="00D23339" w:rsidP="00D2098D">
      <w:pPr>
        <w:spacing w:after="120" w:line="240" w:lineRule="auto"/>
        <w:ind w:firstLine="425"/>
        <w:jc w:val="center"/>
        <w:rPr>
          <w:b/>
          <w:color w:val="0070C0"/>
          <w:sz w:val="40"/>
          <w:szCs w:val="40"/>
        </w:rPr>
      </w:pPr>
    </w:p>
    <w:p w:rsidR="00D23339" w:rsidRPr="00975858" w:rsidRDefault="00D23339" w:rsidP="00D2098D">
      <w:pPr>
        <w:spacing w:after="120" w:line="240" w:lineRule="auto"/>
        <w:jc w:val="center"/>
        <w:rPr>
          <w:b/>
          <w:i/>
          <w:color w:val="FF0000"/>
          <w:sz w:val="35"/>
          <w:szCs w:val="35"/>
        </w:rPr>
      </w:pPr>
      <w:r w:rsidRPr="00975858">
        <w:rPr>
          <w:b/>
          <w:i/>
          <w:color w:val="FF0000"/>
          <w:sz w:val="35"/>
          <w:szCs w:val="35"/>
        </w:rPr>
        <w:t>“</w:t>
      </w:r>
      <w:r w:rsidR="00487786" w:rsidRPr="00975858">
        <w:rPr>
          <w:b/>
          <w:i/>
          <w:color w:val="FF0000"/>
          <w:sz w:val="35"/>
          <w:szCs w:val="35"/>
        </w:rPr>
        <w:t>Le modifi</w:t>
      </w:r>
      <w:r w:rsidR="006B0C90" w:rsidRPr="00975858">
        <w:rPr>
          <w:b/>
          <w:i/>
          <w:color w:val="FF0000"/>
          <w:sz w:val="35"/>
          <w:szCs w:val="35"/>
        </w:rPr>
        <w:t>che relative al processo del lavoro e ai procedimenti in tema di impugnativa dei licenziamenti</w:t>
      </w:r>
      <w:r w:rsidRPr="00975858">
        <w:rPr>
          <w:b/>
          <w:i/>
          <w:color w:val="FF0000"/>
          <w:sz w:val="35"/>
          <w:szCs w:val="35"/>
        </w:rPr>
        <w:t>”</w:t>
      </w:r>
    </w:p>
    <w:p w:rsidR="00D23339" w:rsidRDefault="00D23339" w:rsidP="00D2098D">
      <w:pPr>
        <w:spacing w:after="120" w:line="240" w:lineRule="auto"/>
        <w:ind w:firstLine="425"/>
        <w:jc w:val="center"/>
      </w:pPr>
    </w:p>
    <w:p w:rsidR="00D23339" w:rsidRDefault="00D23339" w:rsidP="00D2098D">
      <w:pPr>
        <w:spacing w:after="120" w:line="240" w:lineRule="auto"/>
        <w:ind w:firstLine="425"/>
        <w:jc w:val="center"/>
      </w:pPr>
    </w:p>
    <w:p w:rsidR="00D23339" w:rsidRDefault="00D23339" w:rsidP="00D2098D">
      <w:pPr>
        <w:spacing w:after="120" w:line="240" w:lineRule="auto"/>
        <w:ind w:firstLine="425"/>
      </w:pPr>
    </w:p>
    <w:p w:rsidR="00D23339" w:rsidRDefault="00D23339" w:rsidP="00D2098D">
      <w:pPr>
        <w:spacing w:after="120" w:line="240" w:lineRule="auto"/>
        <w:ind w:firstLine="425"/>
      </w:pPr>
    </w:p>
    <w:p w:rsidR="00D23339" w:rsidRDefault="00D23339" w:rsidP="00D2098D">
      <w:pPr>
        <w:spacing w:after="120" w:line="240" w:lineRule="auto"/>
        <w:rPr>
          <w:b/>
          <w:color w:val="0070C0"/>
          <w:sz w:val="28"/>
          <w:szCs w:val="28"/>
        </w:rPr>
      </w:pPr>
      <w:r>
        <w:rPr>
          <w:b/>
          <w:color w:val="0070C0"/>
          <w:sz w:val="28"/>
          <w:szCs w:val="28"/>
        </w:rPr>
        <w:t xml:space="preserve">Argomenti trattati: </w:t>
      </w:r>
    </w:p>
    <w:p w:rsidR="00D23339" w:rsidRPr="008447AD" w:rsidRDefault="008447AD" w:rsidP="00D2098D">
      <w:pPr>
        <w:spacing w:after="120" w:line="240" w:lineRule="auto"/>
        <w:jc w:val="both"/>
        <w:rPr>
          <w:b/>
          <w:bCs/>
          <w:color w:val="0070C0"/>
          <w:sz w:val="26"/>
          <w:szCs w:val="26"/>
        </w:rPr>
      </w:pPr>
      <w:r w:rsidRPr="002C5CA7">
        <w:rPr>
          <w:b/>
          <w:bCs/>
          <w:color w:val="0070C0"/>
          <w:sz w:val="26"/>
          <w:szCs w:val="26"/>
        </w:rPr>
        <w:t xml:space="preserve">Negoziazione assistita nelle controversie di lavoro; </w:t>
      </w:r>
      <w:r w:rsidRPr="008447AD">
        <w:rPr>
          <w:b/>
          <w:bCs/>
          <w:color w:val="0070C0"/>
          <w:sz w:val="26"/>
          <w:szCs w:val="26"/>
        </w:rPr>
        <w:t>controversie in materia di licenziamento</w:t>
      </w:r>
      <w:r>
        <w:rPr>
          <w:b/>
          <w:bCs/>
          <w:color w:val="0070C0"/>
          <w:sz w:val="26"/>
          <w:szCs w:val="26"/>
        </w:rPr>
        <w:t xml:space="preserve">; </w:t>
      </w:r>
      <w:r w:rsidRPr="008447AD">
        <w:rPr>
          <w:b/>
          <w:bCs/>
          <w:color w:val="0070C0"/>
          <w:sz w:val="26"/>
          <w:szCs w:val="26"/>
        </w:rPr>
        <w:t>licenziamento del socio della cooperativa</w:t>
      </w:r>
      <w:r>
        <w:rPr>
          <w:b/>
          <w:bCs/>
          <w:color w:val="0070C0"/>
          <w:sz w:val="26"/>
          <w:szCs w:val="26"/>
        </w:rPr>
        <w:t>;</w:t>
      </w:r>
      <w:r w:rsidRPr="008447AD">
        <w:t xml:space="preserve"> </w:t>
      </w:r>
      <w:r w:rsidRPr="008447AD">
        <w:rPr>
          <w:b/>
          <w:bCs/>
          <w:color w:val="0070C0"/>
          <w:sz w:val="26"/>
          <w:szCs w:val="26"/>
        </w:rPr>
        <w:t>licenziamento discriminatorio</w:t>
      </w:r>
      <w:r>
        <w:rPr>
          <w:b/>
          <w:bCs/>
          <w:color w:val="0070C0"/>
          <w:sz w:val="26"/>
          <w:szCs w:val="26"/>
        </w:rPr>
        <w:t>;</w:t>
      </w:r>
      <w:r w:rsidRPr="008447AD">
        <w:t xml:space="preserve"> </w:t>
      </w:r>
      <w:r w:rsidRPr="008447AD">
        <w:rPr>
          <w:b/>
          <w:bCs/>
          <w:color w:val="0070C0"/>
          <w:sz w:val="26"/>
          <w:szCs w:val="26"/>
        </w:rPr>
        <w:t>l’appello nel processo del lavoro</w:t>
      </w:r>
      <w:r>
        <w:rPr>
          <w:b/>
          <w:bCs/>
          <w:color w:val="0070C0"/>
          <w:sz w:val="26"/>
          <w:szCs w:val="26"/>
        </w:rPr>
        <w:t>.</w:t>
      </w:r>
    </w:p>
    <w:p w:rsidR="00D23339" w:rsidRPr="00B40661" w:rsidRDefault="00D23339" w:rsidP="00B40661">
      <w:pPr>
        <w:spacing w:after="120" w:line="240" w:lineRule="auto"/>
        <w:ind w:firstLine="425"/>
        <w:rPr>
          <w:rFonts w:asciiTheme="majorHAnsi" w:hAnsiTheme="majorHAnsi" w:cstheme="majorHAnsi"/>
          <w:b/>
          <w:i/>
          <w:color w:val="C00000"/>
          <w:sz w:val="24"/>
          <w:szCs w:val="24"/>
        </w:rPr>
      </w:pPr>
    </w:p>
    <w:p w:rsidR="00D23339" w:rsidRPr="00B40661" w:rsidRDefault="00D23339" w:rsidP="00B40661">
      <w:pPr>
        <w:spacing w:after="120" w:line="240" w:lineRule="auto"/>
        <w:ind w:firstLine="425"/>
        <w:rPr>
          <w:rFonts w:asciiTheme="majorHAnsi" w:hAnsiTheme="majorHAnsi" w:cstheme="majorHAnsi"/>
          <w:sz w:val="24"/>
          <w:szCs w:val="24"/>
        </w:rPr>
      </w:pPr>
    </w:p>
    <w:p w:rsidR="00D23339" w:rsidRPr="00B40661" w:rsidRDefault="00D23339" w:rsidP="00B40661">
      <w:pPr>
        <w:pBdr>
          <w:top w:val="nil"/>
          <w:left w:val="nil"/>
          <w:bottom w:val="nil"/>
          <w:right w:val="nil"/>
          <w:between w:val="nil"/>
        </w:pBdr>
        <w:spacing w:after="120" w:line="240" w:lineRule="auto"/>
        <w:ind w:firstLine="425"/>
        <w:rPr>
          <w:rFonts w:asciiTheme="majorHAnsi" w:hAnsiTheme="majorHAnsi" w:cstheme="majorHAnsi"/>
          <w:color w:val="4472C4"/>
          <w:sz w:val="24"/>
          <w:szCs w:val="24"/>
        </w:rPr>
      </w:pPr>
    </w:p>
    <w:p w:rsidR="00524BF0" w:rsidRPr="00B40661" w:rsidRDefault="00524BF0" w:rsidP="00B40661">
      <w:pPr>
        <w:spacing w:after="120" w:line="240" w:lineRule="auto"/>
        <w:rPr>
          <w:rFonts w:asciiTheme="majorHAnsi" w:hAnsiTheme="majorHAnsi" w:cstheme="majorHAnsi"/>
          <w:sz w:val="24"/>
          <w:szCs w:val="24"/>
        </w:rPr>
      </w:pPr>
    </w:p>
    <w:p w:rsidR="00D328EC" w:rsidRPr="00B40661" w:rsidRDefault="00D328EC" w:rsidP="00B40661">
      <w:pPr>
        <w:spacing w:after="120" w:line="240" w:lineRule="auto"/>
        <w:rPr>
          <w:rFonts w:asciiTheme="majorHAnsi" w:hAnsiTheme="majorHAnsi" w:cstheme="majorHAnsi"/>
          <w:sz w:val="24"/>
          <w:szCs w:val="24"/>
        </w:rPr>
      </w:pPr>
    </w:p>
    <w:p w:rsidR="00D328EC" w:rsidRPr="00B40661" w:rsidRDefault="00D328EC" w:rsidP="00B40661">
      <w:pPr>
        <w:spacing w:after="120" w:line="240" w:lineRule="auto"/>
        <w:rPr>
          <w:rFonts w:asciiTheme="majorHAnsi" w:hAnsiTheme="majorHAnsi" w:cstheme="majorHAnsi"/>
          <w:sz w:val="24"/>
          <w:szCs w:val="24"/>
        </w:rPr>
      </w:pPr>
    </w:p>
    <w:p w:rsidR="00D328EC" w:rsidRPr="00B40661" w:rsidRDefault="00D328EC" w:rsidP="00B40661">
      <w:pPr>
        <w:spacing w:after="120" w:line="240" w:lineRule="auto"/>
        <w:rPr>
          <w:rFonts w:asciiTheme="majorHAnsi" w:hAnsiTheme="majorHAnsi" w:cstheme="majorHAnsi"/>
          <w:sz w:val="24"/>
          <w:szCs w:val="24"/>
        </w:rPr>
      </w:pPr>
    </w:p>
    <w:p w:rsidR="00D328EC" w:rsidRPr="00B40661" w:rsidRDefault="00D328EC" w:rsidP="00B40661">
      <w:pPr>
        <w:spacing w:after="120" w:line="240" w:lineRule="auto"/>
        <w:rPr>
          <w:rFonts w:asciiTheme="majorHAnsi" w:hAnsiTheme="majorHAnsi" w:cstheme="majorHAnsi"/>
          <w:sz w:val="24"/>
          <w:szCs w:val="24"/>
        </w:rPr>
      </w:pPr>
    </w:p>
    <w:p w:rsidR="00D328EC" w:rsidRPr="00B40661" w:rsidRDefault="00D328EC" w:rsidP="00B40661">
      <w:pPr>
        <w:spacing w:after="120" w:line="240" w:lineRule="auto"/>
        <w:rPr>
          <w:rFonts w:asciiTheme="majorHAnsi" w:hAnsiTheme="majorHAnsi" w:cstheme="majorHAnsi"/>
          <w:sz w:val="24"/>
          <w:szCs w:val="24"/>
        </w:rPr>
      </w:pPr>
    </w:p>
    <w:p w:rsidR="00D328EC" w:rsidRPr="00B40661" w:rsidRDefault="00D328EC" w:rsidP="00B40661">
      <w:pPr>
        <w:spacing w:after="120" w:line="240" w:lineRule="auto"/>
        <w:rPr>
          <w:rFonts w:asciiTheme="majorHAnsi" w:hAnsiTheme="majorHAnsi" w:cstheme="majorHAnsi"/>
          <w:sz w:val="24"/>
          <w:szCs w:val="24"/>
        </w:rPr>
      </w:pPr>
    </w:p>
    <w:p w:rsidR="00D328EC" w:rsidRDefault="00D328EC" w:rsidP="00B40661">
      <w:pPr>
        <w:spacing w:after="120" w:line="240" w:lineRule="auto"/>
        <w:rPr>
          <w:rFonts w:asciiTheme="majorHAnsi" w:hAnsiTheme="majorHAnsi" w:cstheme="majorHAnsi"/>
          <w:sz w:val="24"/>
          <w:szCs w:val="24"/>
        </w:rPr>
      </w:pPr>
    </w:p>
    <w:sdt>
      <w:sdtPr>
        <w:rPr>
          <w:rFonts w:ascii="Calibri" w:eastAsia="Calibri" w:hAnsi="Calibri" w:cs="Calibri"/>
          <w:color w:val="auto"/>
          <w:sz w:val="22"/>
          <w:szCs w:val="22"/>
        </w:rPr>
        <w:id w:val="-798843457"/>
        <w:docPartObj>
          <w:docPartGallery w:val="Table of Contents"/>
          <w:docPartUnique/>
        </w:docPartObj>
      </w:sdtPr>
      <w:sdtEndPr>
        <w:rPr>
          <w:b/>
          <w:bCs/>
        </w:rPr>
      </w:sdtEndPr>
      <w:sdtContent>
        <w:p w:rsidR="009B0221" w:rsidRDefault="009B0221">
          <w:pPr>
            <w:pStyle w:val="Titolosommario"/>
          </w:pPr>
          <w:r>
            <w:t>Sommario</w:t>
          </w:r>
        </w:p>
        <w:p w:rsidR="009B0221" w:rsidRPr="009B0221" w:rsidRDefault="009B0221" w:rsidP="009B0221"/>
        <w:p w:rsidR="009B0221" w:rsidRDefault="00106AED">
          <w:pPr>
            <w:pStyle w:val="Sommario1"/>
            <w:tabs>
              <w:tab w:val="right" w:leader="dot" w:pos="9628"/>
            </w:tabs>
            <w:rPr>
              <w:rFonts w:asciiTheme="minorHAnsi" w:eastAsiaTheme="minorEastAsia" w:hAnsiTheme="minorHAnsi" w:cstheme="minorBidi"/>
              <w:noProof/>
              <w:kern w:val="2"/>
            </w:rPr>
          </w:pPr>
          <w:r w:rsidRPr="00106AED">
            <w:fldChar w:fldCharType="begin"/>
          </w:r>
          <w:r w:rsidR="009B0221">
            <w:instrText xml:space="preserve"> TOC \o "1-3" \h \z \u </w:instrText>
          </w:r>
          <w:r w:rsidRPr="00106AED">
            <w:fldChar w:fldCharType="separate"/>
          </w:r>
          <w:hyperlink w:anchor="_Toc140494797" w:history="1">
            <w:r w:rsidR="009B0221" w:rsidRPr="00E04A8C">
              <w:rPr>
                <w:rStyle w:val="Collegamentoipertestuale"/>
                <w:rFonts w:asciiTheme="majorHAnsi" w:hAnsiTheme="majorHAnsi" w:cstheme="majorHAnsi"/>
                <w:noProof/>
                <w:lang w:eastAsia="en-US"/>
              </w:rPr>
              <w:t>LA NEGOZIAZIONE</w:t>
            </w:r>
            <w:r w:rsidR="009B0221" w:rsidRPr="00E04A8C">
              <w:rPr>
                <w:rStyle w:val="Collegamentoipertestuale"/>
                <w:rFonts w:asciiTheme="majorHAnsi" w:hAnsiTheme="majorHAnsi" w:cstheme="majorHAnsi"/>
                <w:bCs/>
                <w:noProof/>
                <w:lang w:eastAsia="en-US"/>
              </w:rPr>
              <w:t xml:space="preserve"> ASSISTITA NELLE CONTROVERSIE DI LAVORO</w:t>
            </w:r>
            <w:r w:rsidR="009B0221">
              <w:rPr>
                <w:noProof/>
                <w:webHidden/>
              </w:rPr>
              <w:tab/>
            </w:r>
            <w:r>
              <w:rPr>
                <w:noProof/>
                <w:webHidden/>
              </w:rPr>
              <w:fldChar w:fldCharType="begin"/>
            </w:r>
            <w:r w:rsidR="009B0221">
              <w:rPr>
                <w:noProof/>
                <w:webHidden/>
              </w:rPr>
              <w:instrText xml:space="preserve"> PAGEREF _Toc140494797 \h </w:instrText>
            </w:r>
            <w:r>
              <w:rPr>
                <w:noProof/>
                <w:webHidden/>
              </w:rPr>
            </w:r>
            <w:r>
              <w:rPr>
                <w:noProof/>
                <w:webHidden/>
              </w:rPr>
              <w:fldChar w:fldCharType="separate"/>
            </w:r>
            <w:r w:rsidR="009B0221">
              <w:rPr>
                <w:noProof/>
                <w:webHidden/>
              </w:rPr>
              <w:t>3</w:t>
            </w:r>
            <w:r>
              <w:rPr>
                <w:noProof/>
                <w:webHidden/>
              </w:rPr>
              <w:fldChar w:fldCharType="end"/>
            </w:r>
          </w:hyperlink>
        </w:p>
        <w:p w:rsidR="009B0221" w:rsidRDefault="00106AED">
          <w:pPr>
            <w:pStyle w:val="Sommario1"/>
            <w:tabs>
              <w:tab w:val="right" w:leader="dot" w:pos="9628"/>
            </w:tabs>
            <w:rPr>
              <w:rFonts w:asciiTheme="minorHAnsi" w:eastAsiaTheme="minorEastAsia" w:hAnsiTheme="minorHAnsi" w:cstheme="minorBidi"/>
              <w:noProof/>
              <w:kern w:val="2"/>
            </w:rPr>
          </w:pPr>
          <w:hyperlink w:anchor="_Toc140494798" w:history="1">
            <w:r w:rsidR="009B0221" w:rsidRPr="00E04A8C">
              <w:rPr>
                <w:rStyle w:val="Collegamentoipertestuale"/>
                <w:rFonts w:asciiTheme="majorHAnsi" w:hAnsiTheme="majorHAnsi" w:cstheme="majorHAnsi"/>
                <w:bCs/>
                <w:noProof/>
              </w:rPr>
              <w:t>CONTROVERSIE IN MATERIA DI LICENZIAMENTO</w:t>
            </w:r>
            <w:r w:rsidR="009B0221">
              <w:rPr>
                <w:noProof/>
                <w:webHidden/>
              </w:rPr>
              <w:tab/>
            </w:r>
            <w:r>
              <w:rPr>
                <w:noProof/>
                <w:webHidden/>
              </w:rPr>
              <w:fldChar w:fldCharType="begin"/>
            </w:r>
            <w:r w:rsidR="009B0221">
              <w:rPr>
                <w:noProof/>
                <w:webHidden/>
              </w:rPr>
              <w:instrText xml:space="preserve"> PAGEREF _Toc140494798 \h </w:instrText>
            </w:r>
            <w:r>
              <w:rPr>
                <w:noProof/>
                <w:webHidden/>
              </w:rPr>
            </w:r>
            <w:r>
              <w:rPr>
                <w:noProof/>
                <w:webHidden/>
              </w:rPr>
              <w:fldChar w:fldCharType="separate"/>
            </w:r>
            <w:r w:rsidR="009B0221">
              <w:rPr>
                <w:noProof/>
                <w:webHidden/>
              </w:rPr>
              <w:t>5</w:t>
            </w:r>
            <w:r>
              <w:rPr>
                <w:noProof/>
                <w:webHidden/>
              </w:rPr>
              <w:fldChar w:fldCharType="end"/>
            </w:r>
          </w:hyperlink>
        </w:p>
        <w:p w:rsidR="009B0221" w:rsidRDefault="00106AED">
          <w:pPr>
            <w:pStyle w:val="Sommario1"/>
            <w:tabs>
              <w:tab w:val="right" w:leader="dot" w:pos="9628"/>
            </w:tabs>
            <w:rPr>
              <w:rFonts w:asciiTheme="minorHAnsi" w:eastAsiaTheme="minorEastAsia" w:hAnsiTheme="minorHAnsi" w:cstheme="minorBidi"/>
              <w:noProof/>
              <w:kern w:val="2"/>
            </w:rPr>
          </w:pPr>
          <w:hyperlink w:anchor="_Toc140494799" w:history="1">
            <w:r w:rsidR="009B0221" w:rsidRPr="00E04A8C">
              <w:rPr>
                <w:rStyle w:val="Collegamentoipertestuale"/>
                <w:rFonts w:asciiTheme="majorHAnsi" w:hAnsiTheme="majorHAnsi" w:cstheme="majorHAnsi"/>
                <w:noProof/>
              </w:rPr>
              <w:t>LICENZIAMENTO DEL SOCIO DELLA COOPERATIVA</w:t>
            </w:r>
            <w:r w:rsidR="009B0221">
              <w:rPr>
                <w:noProof/>
                <w:webHidden/>
              </w:rPr>
              <w:tab/>
            </w:r>
            <w:r>
              <w:rPr>
                <w:noProof/>
                <w:webHidden/>
              </w:rPr>
              <w:fldChar w:fldCharType="begin"/>
            </w:r>
            <w:r w:rsidR="009B0221">
              <w:rPr>
                <w:noProof/>
                <w:webHidden/>
              </w:rPr>
              <w:instrText xml:space="preserve"> PAGEREF _Toc140494799 \h </w:instrText>
            </w:r>
            <w:r>
              <w:rPr>
                <w:noProof/>
                <w:webHidden/>
              </w:rPr>
            </w:r>
            <w:r>
              <w:rPr>
                <w:noProof/>
                <w:webHidden/>
              </w:rPr>
              <w:fldChar w:fldCharType="separate"/>
            </w:r>
            <w:r w:rsidR="009B0221">
              <w:rPr>
                <w:noProof/>
                <w:webHidden/>
              </w:rPr>
              <w:t>10</w:t>
            </w:r>
            <w:r>
              <w:rPr>
                <w:noProof/>
                <w:webHidden/>
              </w:rPr>
              <w:fldChar w:fldCharType="end"/>
            </w:r>
          </w:hyperlink>
        </w:p>
        <w:p w:rsidR="009B0221" w:rsidRDefault="00106AED">
          <w:pPr>
            <w:pStyle w:val="Sommario1"/>
            <w:tabs>
              <w:tab w:val="right" w:leader="dot" w:pos="9628"/>
            </w:tabs>
            <w:rPr>
              <w:rFonts w:asciiTheme="minorHAnsi" w:eastAsiaTheme="minorEastAsia" w:hAnsiTheme="minorHAnsi" w:cstheme="minorBidi"/>
              <w:noProof/>
              <w:kern w:val="2"/>
            </w:rPr>
          </w:pPr>
          <w:hyperlink w:anchor="_Toc140494800" w:history="1">
            <w:r w:rsidR="009B0221" w:rsidRPr="00E04A8C">
              <w:rPr>
                <w:rStyle w:val="Collegamentoipertestuale"/>
                <w:rFonts w:asciiTheme="majorHAnsi" w:hAnsiTheme="majorHAnsi" w:cstheme="majorHAnsi"/>
                <w:noProof/>
              </w:rPr>
              <w:t>LICENZIAMENTO DISCRIMINATORIO</w:t>
            </w:r>
            <w:r w:rsidR="009B0221">
              <w:rPr>
                <w:noProof/>
                <w:webHidden/>
              </w:rPr>
              <w:tab/>
            </w:r>
            <w:r>
              <w:rPr>
                <w:noProof/>
                <w:webHidden/>
              </w:rPr>
              <w:fldChar w:fldCharType="begin"/>
            </w:r>
            <w:r w:rsidR="009B0221">
              <w:rPr>
                <w:noProof/>
                <w:webHidden/>
              </w:rPr>
              <w:instrText xml:space="preserve"> PAGEREF _Toc140494800 \h </w:instrText>
            </w:r>
            <w:r>
              <w:rPr>
                <w:noProof/>
                <w:webHidden/>
              </w:rPr>
            </w:r>
            <w:r>
              <w:rPr>
                <w:noProof/>
                <w:webHidden/>
              </w:rPr>
              <w:fldChar w:fldCharType="separate"/>
            </w:r>
            <w:r w:rsidR="009B0221">
              <w:rPr>
                <w:noProof/>
                <w:webHidden/>
              </w:rPr>
              <w:t>11</w:t>
            </w:r>
            <w:r>
              <w:rPr>
                <w:noProof/>
                <w:webHidden/>
              </w:rPr>
              <w:fldChar w:fldCharType="end"/>
            </w:r>
          </w:hyperlink>
        </w:p>
        <w:p w:rsidR="009B0221" w:rsidRDefault="00106AED">
          <w:pPr>
            <w:pStyle w:val="Sommario1"/>
            <w:tabs>
              <w:tab w:val="right" w:leader="dot" w:pos="9628"/>
            </w:tabs>
            <w:rPr>
              <w:rFonts w:asciiTheme="minorHAnsi" w:eastAsiaTheme="minorEastAsia" w:hAnsiTheme="minorHAnsi" w:cstheme="minorBidi"/>
              <w:noProof/>
              <w:kern w:val="2"/>
            </w:rPr>
          </w:pPr>
          <w:hyperlink w:anchor="_Toc140494801" w:history="1">
            <w:r w:rsidR="009B0221" w:rsidRPr="00E04A8C">
              <w:rPr>
                <w:rStyle w:val="Collegamentoipertestuale"/>
                <w:rFonts w:asciiTheme="majorHAnsi" w:hAnsiTheme="majorHAnsi" w:cstheme="majorHAnsi"/>
                <w:noProof/>
              </w:rPr>
              <w:t>L’APPELLO NEL PROCESSO DEL LAVORO</w:t>
            </w:r>
            <w:r w:rsidR="009B0221">
              <w:rPr>
                <w:noProof/>
                <w:webHidden/>
              </w:rPr>
              <w:tab/>
            </w:r>
            <w:r>
              <w:rPr>
                <w:noProof/>
                <w:webHidden/>
              </w:rPr>
              <w:fldChar w:fldCharType="begin"/>
            </w:r>
            <w:r w:rsidR="009B0221">
              <w:rPr>
                <w:noProof/>
                <w:webHidden/>
              </w:rPr>
              <w:instrText xml:space="preserve"> PAGEREF _Toc140494801 \h </w:instrText>
            </w:r>
            <w:r>
              <w:rPr>
                <w:noProof/>
                <w:webHidden/>
              </w:rPr>
            </w:r>
            <w:r>
              <w:rPr>
                <w:noProof/>
                <w:webHidden/>
              </w:rPr>
              <w:fldChar w:fldCharType="separate"/>
            </w:r>
            <w:r w:rsidR="009B0221">
              <w:rPr>
                <w:noProof/>
                <w:webHidden/>
              </w:rPr>
              <w:t>12</w:t>
            </w:r>
            <w:r>
              <w:rPr>
                <w:noProof/>
                <w:webHidden/>
              </w:rPr>
              <w:fldChar w:fldCharType="end"/>
            </w:r>
          </w:hyperlink>
        </w:p>
        <w:p w:rsidR="009B0221" w:rsidRDefault="00106AED">
          <w:r>
            <w:rPr>
              <w:b/>
              <w:bCs/>
            </w:rPr>
            <w:fldChar w:fldCharType="end"/>
          </w:r>
        </w:p>
      </w:sdtContent>
    </w:sdt>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Default="009B0221" w:rsidP="00B40661">
      <w:pPr>
        <w:spacing w:after="120" w:line="240" w:lineRule="auto"/>
        <w:rPr>
          <w:rFonts w:asciiTheme="majorHAnsi" w:hAnsiTheme="majorHAnsi" w:cstheme="majorHAnsi"/>
          <w:sz w:val="24"/>
          <w:szCs w:val="24"/>
        </w:rPr>
      </w:pPr>
    </w:p>
    <w:p w:rsidR="009B0221" w:rsidRPr="00B40661" w:rsidRDefault="009B0221" w:rsidP="00B40661">
      <w:pPr>
        <w:spacing w:after="120" w:line="240" w:lineRule="auto"/>
        <w:rPr>
          <w:rFonts w:asciiTheme="majorHAnsi" w:hAnsiTheme="majorHAnsi" w:cstheme="majorHAnsi"/>
          <w:sz w:val="24"/>
          <w:szCs w:val="24"/>
        </w:rPr>
      </w:pPr>
    </w:p>
    <w:p w:rsidR="00D328EC" w:rsidRDefault="00184646" w:rsidP="006D10DD">
      <w:pPr>
        <w:pStyle w:val="Titolo1"/>
        <w:jc w:val="center"/>
        <w:rPr>
          <w:rFonts w:asciiTheme="majorHAnsi" w:hAnsiTheme="majorHAnsi" w:cstheme="majorHAnsi"/>
          <w:bCs/>
          <w:color w:val="FF0000"/>
          <w:kern w:val="2"/>
          <w:sz w:val="24"/>
          <w:szCs w:val="24"/>
          <w:lang w:eastAsia="en-US"/>
        </w:rPr>
      </w:pPr>
      <w:bookmarkStart w:id="0" w:name="_Toc140494797"/>
      <w:r w:rsidRPr="009B0221">
        <w:rPr>
          <w:rFonts w:asciiTheme="majorHAnsi" w:hAnsiTheme="majorHAnsi" w:cstheme="majorHAnsi"/>
          <w:color w:val="FF0000"/>
          <w:kern w:val="2"/>
          <w:sz w:val="24"/>
          <w:szCs w:val="24"/>
          <w:lang w:eastAsia="en-US"/>
        </w:rPr>
        <w:lastRenderedPageBreak/>
        <w:t xml:space="preserve">LA </w:t>
      </w:r>
      <w:r w:rsidR="00D328EC" w:rsidRPr="009B0221">
        <w:rPr>
          <w:rFonts w:asciiTheme="majorHAnsi" w:hAnsiTheme="majorHAnsi" w:cstheme="majorHAnsi"/>
          <w:color w:val="FF0000"/>
          <w:kern w:val="2"/>
          <w:sz w:val="24"/>
          <w:szCs w:val="24"/>
          <w:lang w:eastAsia="en-US"/>
        </w:rPr>
        <w:t>NEGOZIAZIONE</w:t>
      </w:r>
      <w:r w:rsidR="00D328EC" w:rsidRPr="00975858">
        <w:rPr>
          <w:rFonts w:asciiTheme="majorHAnsi" w:hAnsiTheme="majorHAnsi" w:cstheme="majorHAnsi"/>
          <w:bCs/>
          <w:color w:val="FF0000"/>
          <w:kern w:val="2"/>
          <w:sz w:val="24"/>
          <w:szCs w:val="24"/>
          <w:lang w:eastAsia="en-US"/>
        </w:rPr>
        <w:t xml:space="preserve"> ASSISTITA NELLE CONTROVERSIE DI LAVORO</w:t>
      </w:r>
      <w:bookmarkEnd w:id="0"/>
    </w:p>
    <w:p w:rsidR="006D10DD" w:rsidRPr="006D10DD" w:rsidRDefault="006D10DD" w:rsidP="006D10DD">
      <w:pPr>
        <w:rPr>
          <w:lang w:eastAsia="en-US"/>
        </w:rPr>
      </w:pPr>
    </w:p>
    <w:p w:rsidR="00D328EC" w:rsidRPr="00B40661" w:rsidRDefault="00D328EC" w:rsidP="00B40661">
      <w:pPr>
        <w:spacing w:after="120" w:line="240" w:lineRule="auto"/>
        <w:ind w:firstLine="425"/>
        <w:jc w:val="both"/>
        <w:rPr>
          <w:rFonts w:asciiTheme="majorHAnsi" w:hAnsiTheme="majorHAnsi" w:cstheme="majorHAnsi"/>
          <w:kern w:val="2"/>
          <w:sz w:val="24"/>
          <w:szCs w:val="24"/>
          <w:lang w:eastAsia="en-US"/>
        </w:rPr>
      </w:pPr>
      <w:r w:rsidRPr="00B40661">
        <w:rPr>
          <w:rFonts w:asciiTheme="majorHAnsi" w:hAnsiTheme="majorHAnsi" w:cstheme="majorHAnsi"/>
          <w:kern w:val="2"/>
          <w:sz w:val="24"/>
          <w:szCs w:val="24"/>
          <w:lang w:eastAsia="en-US"/>
        </w:rPr>
        <w:t>Tra le novità della c.d. riforma Cartabia (D.lgs. 10 ottobre 2022, n. 149) in ambito giuslavorista, giova evidenziare l</w:t>
      </w:r>
      <w:r w:rsidR="00975858">
        <w:rPr>
          <w:rFonts w:asciiTheme="majorHAnsi" w:hAnsiTheme="majorHAnsi" w:cstheme="majorHAnsi"/>
          <w:kern w:val="2"/>
          <w:sz w:val="24"/>
          <w:szCs w:val="24"/>
          <w:lang w:eastAsia="en-US"/>
        </w:rPr>
        <w:t>’</w:t>
      </w:r>
      <w:r w:rsidRPr="00B40661">
        <w:rPr>
          <w:rFonts w:asciiTheme="majorHAnsi" w:hAnsiTheme="majorHAnsi" w:cstheme="majorHAnsi"/>
          <w:kern w:val="2"/>
          <w:sz w:val="24"/>
          <w:szCs w:val="24"/>
          <w:lang w:eastAsia="en-US"/>
        </w:rPr>
        <w:t xml:space="preserve">estensione della negoziazione assistita alle controversie di lavoro, ai sensi del neo-introdotto </w:t>
      </w:r>
      <w:r w:rsidRPr="00B40661">
        <w:rPr>
          <w:rFonts w:asciiTheme="majorHAnsi" w:hAnsiTheme="majorHAnsi" w:cstheme="majorHAnsi"/>
          <w:b/>
          <w:kern w:val="2"/>
          <w:sz w:val="24"/>
          <w:szCs w:val="24"/>
          <w:lang w:eastAsia="en-US"/>
        </w:rPr>
        <w:t>art. 2</w:t>
      </w:r>
      <w:r w:rsidR="00975858">
        <w:rPr>
          <w:rFonts w:asciiTheme="majorHAnsi" w:hAnsiTheme="majorHAnsi" w:cstheme="majorHAnsi"/>
          <w:b/>
          <w:kern w:val="2"/>
          <w:sz w:val="24"/>
          <w:szCs w:val="24"/>
          <w:lang w:eastAsia="en-US"/>
        </w:rPr>
        <w:t xml:space="preserve"> </w:t>
      </w:r>
      <w:proofErr w:type="spellStart"/>
      <w:r w:rsidRPr="00975858">
        <w:rPr>
          <w:rFonts w:asciiTheme="majorHAnsi" w:hAnsiTheme="majorHAnsi" w:cstheme="majorHAnsi"/>
          <w:b/>
          <w:i/>
          <w:iCs/>
          <w:kern w:val="2"/>
          <w:sz w:val="24"/>
          <w:szCs w:val="24"/>
          <w:lang w:eastAsia="en-US"/>
        </w:rPr>
        <w:t>ter</w:t>
      </w:r>
      <w:proofErr w:type="spellEnd"/>
      <w:r w:rsidRPr="00B40661">
        <w:rPr>
          <w:rFonts w:asciiTheme="majorHAnsi" w:hAnsiTheme="majorHAnsi" w:cstheme="majorHAnsi"/>
          <w:b/>
          <w:kern w:val="2"/>
          <w:sz w:val="24"/>
          <w:szCs w:val="24"/>
          <w:lang w:eastAsia="en-US"/>
        </w:rPr>
        <w:t xml:space="preserve"> del d.l. n. 132/2014</w:t>
      </w:r>
      <w:r w:rsidRPr="00B40661">
        <w:rPr>
          <w:rFonts w:asciiTheme="majorHAnsi" w:hAnsiTheme="majorHAnsi" w:cstheme="majorHAnsi"/>
          <w:kern w:val="2"/>
          <w:sz w:val="24"/>
          <w:szCs w:val="24"/>
          <w:vertAlign w:val="superscript"/>
          <w:lang w:eastAsia="en-US"/>
        </w:rPr>
        <w:footnoteReference w:id="1"/>
      </w:r>
      <w:r w:rsidRPr="00B40661">
        <w:rPr>
          <w:rFonts w:asciiTheme="majorHAnsi" w:hAnsiTheme="majorHAnsi" w:cstheme="majorHAnsi"/>
          <w:kern w:val="2"/>
          <w:sz w:val="24"/>
          <w:szCs w:val="24"/>
          <w:lang w:eastAsia="en-US"/>
        </w:rPr>
        <w:t xml:space="preserve">. </w:t>
      </w:r>
    </w:p>
    <w:p w:rsidR="00D328EC" w:rsidRPr="00B40661" w:rsidRDefault="00D328EC" w:rsidP="00B40661">
      <w:pPr>
        <w:spacing w:after="120" w:line="240" w:lineRule="auto"/>
        <w:ind w:firstLine="425"/>
        <w:jc w:val="both"/>
        <w:rPr>
          <w:rFonts w:asciiTheme="majorHAnsi" w:hAnsiTheme="majorHAnsi" w:cstheme="majorHAnsi"/>
          <w:kern w:val="2"/>
          <w:sz w:val="24"/>
          <w:szCs w:val="24"/>
          <w:lang w:eastAsia="en-US"/>
        </w:rPr>
      </w:pPr>
      <w:r w:rsidRPr="00B40661">
        <w:rPr>
          <w:rFonts w:asciiTheme="majorHAnsi" w:hAnsiTheme="majorHAnsi" w:cstheme="majorHAnsi"/>
          <w:kern w:val="2"/>
          <w:sz w:val="24"/>
          <w:szCs w:val="24"/>
          <w:lang w:eastAsia="en-US"/>
        </w:rPr>
        <w:t>Ferme, dunque, le procedure conciliative e arbitrali previste dai contratti collettivi sottoscritti dalle associazioni sindacali maggiormente rappresentative</w:t>
      </w:r>
      <w:r w:rsidR="00975858">
        <w:rPr>
          <w:rFonts w:asciiTheme="majorHAnsi" w:hAnsiTheme="majorHAnsi" w:cstheme="majorHAnsi"/>
          <w:kern w:val="2"/>
          <w:sz w:val="24"/>
          <w:szCs w:val="24"/>
          <w:lang w:eastAsia="en-US"/>
        </w:rPr>
        <w:t>,</w:t>
      </w:r>
      <w:r w:rsidRPr="00B40661">
        <w:rPr>
          <w:rFonts w:asciiTheme="majorHAnsi" w:hAnsiTheme="majorHAnsi" w:cstheme="majorHAnsi"/>
          <w:kern w:val="2"/>
          <w:sz w:val="24"/>
          <w:szCs w:val="24"/>
          <w:lang w:eastAsia="en-US"/>
        </w:rPr>
        <w:t xml:space="preserve"> </w:t>
      </w:r>
      <w:r w:rsidRPr="00975858">
        <w:rPr>
          <w:rFonts w:asciiTheme="majorHAnsi" w:hAnsiTheme="majorHAnsi" w:cstheme="majorHAnsi"/>
          <w:i/>
          <w:iCs/>
          <w:kern w:val="2"/>
          <w:sz w:val="24"/>
          <w:szCs w:val="24"/>
          <w:lang w:eastAsia="en-US"/>
        </w:rPr>
        <w:t>ex</w:t>
      </w:r>
      <w:r w:rsidRPr="00B40661">
        <w:rPr>
          <w:rFonts w:asciiTheme="majorHAnsi" w:hAnsiTheme="majorHAnsi" w:cstheme="majorHAnsi"/>
          <w:kern w:val="2"/>
          <w:sz w:val="24"/>
          <w:szCs w:val="24"/>
          <w:lang w:eastAsia="en-US"/>
        </w:rPr>
        <w:t xml:space="preserve"> art. 412</w:t>
      </w:r>
      <w:r w:rsidR="00975858">
        <w:rPr>
          <w:rFonts w:asciiTheme="majorHAnsi" w:hAnsiTheme="majorHAnsi" w:cstheme="majorHAnsi"/>
          <w:kern w:val="2"/>
          <w:sz w:val="24"/>
          <w:szCs w:val="24"/>
          <w:lang w:eastAsia="en-US"/>
        </w:rPr>
        <w:t xml:space="preserve"> </w:t>
      </w:r>
      <w:r w:rsidRPr="00975858">
        <w:rPr>
          <w:rFonts w:asciiTheme="majorHAnsi" w:hAnsiTheme="majorHAnsi" w:cstheme="majorHAnsi"/>
          <w:i/>
          <w:iCs/>
          <w:kern w:val="2"/>
          <w:sz w:val="24"/>
          <w:szCs w:val="24"/>
          <w:lang w:eastAsia="en-US"/>
        </w:rPr>
        <w:t>ter</w:t>
      </w:r>
      <w:r w:rsidRPr="00B40661">
        <w:rPr>
          <w:rFonts w:asciiTheme="majorHAnsi" w:hAnsiTheme="majorHAnsi" w:cstheme="majorHAnsi"/>
          <w:kern w:val="2"/>
          <w:sz w:val="24"/>
          <w:szCs w:val="24"/>
          <w:lang w:eastAsia="en-US"/>
        </w:rPr>
        <w:t xml:space="preserve"> c.p.c.</w:t>
      </w:r>
      <w:r w:rsidRPr="00B40661">
        <w:rPr>
          <w:rFonts w:asciiTheme="majorHAnsi" w:hAnsiTheme="majorHAnsi" w:cstheme="majorHAnsi"/>
          <w:kern w:val="2"/>
          <w:sz w:val="24"/>
          <w:szCs w:val="24"/>
          <w:vertAlign w:val="superscript"/>
          <w:lang w:eastAsia="en-US"/>
        </w:rPr>
        <w:footnoteReference w:id="2"/>
      </w:r>
      <w:r w:rsidRPr="00B40661">
        <w:rPr>
          <w:rFonts w:asciiTheme="majorHAnsi" w:hAnsiTheme="majorHAnsi" w:cstheme="majorHAnsi"/>
          <w:kern w:val="2"/>
          <w:sz w:val="24"/>
          <w:szCs w:val="24"/>
          <w:lang w:eastAsia="en-US"/>
        </w:rPr>
        <w:t xml:space="preserve">, anche nelle controversie di lavoro sarà possibile ricorrere alla procedura di negoziazione, nell’ambito della quale ciascuna parte dovrà essere assistita da almeno un </w:t>
      </w:r>
      <w:r w:rsidRPr="00B40661">
        <w:rPr>
          <w:rFonts w:asciiTheme="majorHAnsi" w:hAnsiTheme="majorHAnsi" w:cstheme="majorHAnsi"/>
          <w:b/>
          <w:kern w:val="2"/>
          <w:sz w:val="24"/>
          <w:szCs w:val="24"/>
          <w:lang w:eastAsia="en-US"/>
        </w:rPr>
        <w:t>avvocato</w:t>
      </w:r>
      <w:r w:rsidRPr="00B40661">
        <w:rPr>
          <w:rFonts w:asciiTheme="majorHAnsi" w:hAnsiTheme="majorHAnsi" w:cstheme="majorHAnsi"/>
          <w:kern w:val="2"/>
          <w:sz w:val="24"/>
          <w:szCs w:val="24"/>
          <w:lang w:eastAsia="en-US"/>
        </w:rPr>
        <w:t xml:space="preserve"> e, se lo desidera, anche da un </w:t>
      </w:r>
      <w:r w:rsidRPr="00B40661">
        <w:rPr>
          <w:rFonts w:asciiTheme="majorHAnsi" w:hAnsiTheme="majorHAnsi" w:cstheme="majorHAnsi"/>
          <w:b/>
          <w:kern w:val="2"/>
          <w:sz w:val="24"/>
          <w:szCs w:val="24"/>
          <w:lang w:eastAsia="en-US"/>
        </w:rPr>
        <w:t>consulente del lavoro</w:t>
      </w:r>
      <w:r w:rsidRPr="00B40661">
        <w:rPr>
          <w:rFonts w:asciiTheme="majorHAnsi" w:hAnsiTheme="majorHAnsi" w:cstheme="majorHAnsi"/>
          <w:kern w:val="2"/>
          <w:sz w:val="24"/>
          <w:szCs w:val="24"/>
          <w:lang w:eastAsia="en-US"/>
        </w:rPr>
        <w:t xml:space="preserve">. </w:t>
      </w:r>
    </w:p>
    <w:p w:rsidR="00D328EC" w:rsidRPr="00B40661" w:rsidRDefault="00D328EC" w:rsidP="00B40661">
      <w:pPr>
        <w:spacing w:after="120" w:line="240" w:lineRule="auto"/>
        <w:ind w:firstLine="425"/>
        <w:jc w:val="both"/>
        <w:rPr>
          <w:rFonts w:asciiTheme="majorHAnsi" w:hAnsiTheme="majorHAnsi" w:cstheme="majorHAnsi"/>
          <w:kern w:val="2"/>
          <w:sz w:val="24"/>
          <w:szCs w:val="24"/>
          <w:lang w:eastAsia="en-US"/>
        </w:rPr>
      </w:pPr>
      <w:r w:rsidRPr="00B40661">
        <w:rPr>
          <w:rFonts w:asciiTheme="majorHAnsi" w:hAnsiTheme="majorHAnsi" w:cstheme="majorHAnsi"/>
          <w:kern w:val="2"/>
          <w:sz w:val="24"/>
          <w:szCs w:val="24"/>
          <w:lang w:eastAsia="en-US"/>
        </w:rPr>
        <w:t xml:space="preserve">L’accordo di negoziazione eventualmente raggiunto in detta sede, per espressa previsione legislativa, produrrà gli effetti di </w:t>
      </w:r>
      <w:r w:rsidRPr="00B40661">
        <w:rPr>
          <w:rFonts w:asciiTheme="majorHAnsi" w:hAnsiTheme="majorHAnsi" w:cstheme="majorHAnsi"/>
          <w:b/>
          <w:kern w:val="2"/>
          <w:sz w:val="24"/>
          <w:szCs w:val="24"/>
          <w:lang w:eastAsia="en-US"/>
        </w:rPr>
        <w:t>inoppugnabilità</w:t>
      </w:r>
      <w:r w:rsidRPr="00B40661">
        <w:rPr>
          <w:rFonts w:asciiTheme="majorHAnsi" w:hAnsiTheme="majorHAnsi" w:cstheme="majorHAnsi"/>
          <w:kern w:val="2"/>
          <w:sz w:val="24"/>
          <w:szCs w:val="24"/>
          <w:lang w:eastAsia="en-US"/>
        </w:rPr>
        <w:t xml:space="preserve"> di cui all</w:t>
      </w:r>
      <w:r w:rsidR="00975858">
        <w:rPr>
          <w:rFonts w:asciiTheme="majorHAnsi" w:hAnsiTheme="majorHAnsi" w:cstheme="majorHAnsi"/>
          <w:kern w:val="2"/>
          <w:sz w:val="24"/>
          <w:szCs w:val="24"/>
          <w:lang w:eastAsia="en-US"/>
        </w:rPr>
        <w:t>’</w:t>
      </w:r>
      <w:r w:rsidRPr="00B40661">
        <w:rPr>
          <w:rFonts w:asciiTheme="majorHAnsi" w:hAnsiTheme="majorHAnsi" w:cstheme="majorHAnsi"/>
          <w:kern w:val="2"/>
          <w:sz w:val="24"/>
          <w:szCs w:val="24"/>
          <w:lang w:eastAsia="en-US"/>
        </w:rPr>
        <w:t>art. 2113, co. 4, c.c.</w:t>
      </w:r>
      <w:r w:rsidR="00975858" w:rsidRPr="00B40661">
        <w:rPr>
          <w:rFonts w:asciiTheme="majorHAnsi" w:hAnsiTheme="majorHAnsi" w:cstheme="majorHAnsi"/>
          <w:kern w:val="2"/>
          <w:sz w:val="24"/>
          <w:szCs w:val="24"/>
          <w:vertAlign w:val="superscript"/>
          <w:lang w:eastAsia="en-US"/>
        </w:rPr>
        <w:footnoteReference w:id="3"/>
      </w:r>
      <w:r w:rsidRPr="00B40661">
        <w:rPr>
          <w:rFonts w:asciiTheme="majorHAnsi" w:hAnsiTheme="majorHAnsi" w:cstheme="majorHAnsi"/>
          <w:kern w:val="2"/>
          <w:sz w:val="24"/>
          <w:szCs w:val="24"/>
          <w:lang w:eastAsia="en-US"/>
        </w:rPr>
        <w:t xml:space="preserve">, e dovrà essere trasmesso a cura delle parti, entro 10 giorni, a una delle </w:t>
      </w:r>
      <w:r w:rsidRPr="00B40661">
        <w:rPr>
          <w:rFonts w:asciiTheme="majorHAnsi" w:hAnsiTheme="majorHAnsi" w:cstheme="majorHAnsi"/>
          <w:b/>
          <w:kern w:val="2"/>
          <w:sz w:val="24"/>
          <w:szCs w:val="24"/>
          <w:lang w:eastAsia="en-US"/>
        </w:rPr>
        <w:t>commissioni di certificazione</w:t>
      </w:r>
      <w:r w:rsidRPr="00B40661">
        <w:rPr>
          <w:rFonts w:asciiTheme="majorHAnsi" w:hAnsiTheme="majorHAnsi" w:cstheme="majorHAnsi"/>
          <w:kern w:val="2"/>
          <w:sz w:val="24"/>
          <w:szCs w:val="24"/>
          <w:lang w:eastAsia="en-US"/>
        </w:rPr>
        <w:t xml:space="preserve"> di cui all</w:t>
      </w:r>
      <w:r w:rsidR="00975858">
        <w:rPr>
          <w:rFonts w:asciiTheme="majorHAnsi" w:hAnsiTheme="majorHAnsi" w:cstheme="majorHAnsi"/>
          <w:kern w:val="2"/>
          <w:sz w:val="24"/>
          <w:szCs w:val="24"/>
          <w:lang w:eastAsia="en-US"/>
        </w:rPr>
        <w:t>’</w:t>
      </w:r>
      <w:r w:rsidRPr="00B40661">
        <w:rPr>
          <w:rFonts w:asciiTheme="majorHAnsi" w:hAnsiTheme="majorHAnsi" w:cstheme="majorHAnsi"/>
          <w:kern w:val="2"/>
          <w:sz w:val="24"/>
          <w:szCs w:val="24"/>
          <w:lang w:eastAsia="en-US"/>
        </w:rPr>
        <w:t>art</w:t>
      </w:r>
      <w:r w:rsidR="00975858">
        <w:rPr>
          <w:rFonts w:asciiTheme="majorHAnsi" w:hAnsiTheme="majorHAnsi" w:cstheme="majorHAnsi"/>
          <w:kern w:val="2"/>
          <w:sz w:val="24"/>
          <w:szCs w:val="24"/>
          <w:lang w:eastAsia="en-US"/>
        </w:rPr>
        <w:t xml:space="preserve">. </w:t>
      </w:r>
      <w:r w:rsidRPr="00B40661">
        <w:rPr>
          <w:rFonts w:asciiTheme="majorHAnsi" w:hAnsiTheme="majorHAnsi" w:cstheme="majorHAnsi"/>
          <w:kern w:val="2"/>
          <w:sz w:val="24"/>
          <w:szCs w:val="24"/>
          <w:lang w:eastAsia="en-US"/>
        </w:rPr>
        <w:t>76 del decreto legislativo 10 settembre 2003, n. 276</w:t>
      </w:r>
      <w:r w:rsidRPr="00B40661">
        <w:rPr>
          <w:rFonts w:asciiTheme="majorHAnsi" w:hAnsiTheme="majorHAnsi" w:cstheme="majorHAnsi"/>
          <w:kern w:val="2"/>
          <w:sz w:val="24"/>
          <w:szCs w:val="24"/>
          <w:vertAlign w:val="superscript"/>
          <w:lang w:eastAsia="en-US"/>
        </w:rPr>
        <w:footnoteReference w:id="4"/>
      </w:r>
      <w:r w:rsidRPr="00B40661">
        <w:rPr>
          <w:rFonts w:asciiTheme="majorHAnsi" w:hAnsiTheme="majorHAnsi" w:cstheme="majorHAnsi"/>
          <w:kern w:val="2"/>
          <w:sz w:val="24"/>
          <w:szCs w:val="24"/>
          <w:lang w:eastAsia="en-US"/>
        </w:rPr>
        <w:t>.</w:t>
      </w:r>
    </w:p>
    <w:p w:rsidR="00D328EC" w:rsidRPr="00B40661" w:rsidRDefault="00D328EC" w:rsidP="00B40661">
      <w:pPr>
        <w:spacing w:after="120" w:line="240" w:lineRule="auto"/>
        <w:ind w:firstLine="425"/>
        <w:jc w:val="both"/>
        <w:rPr>
          <w:rFonts w:asciiTheme="majorHAnsi" w:hAnsiTheme="majorHAnsi" w:cstheme="majorHAnsi"/>
          <w:kern w:val="2"/>
          <w:sz w:val="24"/>
          <w:szCs w:val="24"/>
          <w:lang w:eastAsia="en-US"/>
        </w:rPr>
      </w:pPr>
      <w:r w:rsidRPr="00B40661">
        <w:rPr>
          <w:rFonts w:asciiTheme="majorHAnsi" w:hAnsiTheme="majorHAnsi" w:cstheme="majorHAnsi"/>
          <w:kern w:val="2"/>
          <w:sz w:val="24"/>
          <w:szCs w:val="24"/>
          <w:lang w:eastAsia="en-US"/>
        </w:rPr>
        <w:lastRenderedPageBreak/>
        <w:t xml:space="preserve">Occorre precisare, tuttavia, che in ambito lavoristico la negoziazione assistita </w:t>
      </w:r>
      <w:r w:rsidRPr="00B40661">
        <w:rPr>
          <w:rFonts w:asciiTheme="majorHAnsi" w:hAnsiTheme="majorHAnsi" w:cstheme="majorHAnsi"/>
          <w:b/>
          <w:kern w:val="2"/>
          <w:sz w:val="24"/>
          <w:szCs w:val="24"/>
          <w:lang w:eastAsia="en-US"/>
        </w:rPr>
        <w:t>non</w:t>
      </w:r>
      <w:r w:rsidRPr="00B40661">
        <w:rPr>
          <w:rFonts w:asciiTheme="majorHAnsi" w:hAnsiTheme="majorHAnsi" w:cstheme="majorHAnsi"/>
          <w:kern w:val="2"/>
          <w:sz w:val="24"/>
          <w:szCs w:val="24"/>
          <w:lang w:eastAsia="en-US"/>
        </w:rPr>
        <w:t xml:space="preserve"> assurge al rango di </w:t>
      </w:r>
      <w:r w:rsidRPr="00B40661">
        <w:rPr>
          <w:rFonts w:asciiTheme="majorHAnsi" w:hAnsiTheme="majorHAnsi" w:cstheme="majorHAnsi"/>
          <w:b/>
          <w:kern w:val="2"/>
          <w:sz w:val="24"/>
          <w:szCs w:val="24"/>
          <w:lang w:eastAsia="en-US"/>
        </w:rPr>
        <w:t>condizione di procedibilità</w:t>
      </w:r>
      <w:r w:rsidRPr="00B40661">
        <w:rPr>
          <w:rFonts w:asciiTheme="majorHAnsi" w:hAnsiTheme="majorHAnsi" w:cstheme="majorHAnsi"/>
          <w:kern w:val="2"/>
          <w:sz w:val="24"/>
          <w:szCs w:val="24"/>
          <w:lang w:eastAsia="en-US"/>
        </w:rPr>
        <w:t xml:space="preserve"> della domanda giudiziale.</w:t>
      </w:r>
    </w:p>
    <w:p w:rsidR="00D328EC" w:rsidRPr="00B40661" w:rsidRDefault="00D328EC" w:rsidP="00B40661">
      <w:pPr>
        <w:spacing w:after="120" w:line="240" w:lineRule="auto"/>
        <w:ind w:firstLine="425"/>
        <w:rPr>
          <w:rFonts w:asciiTheme="majorHAnsi" w:hAnsiTheme="majorHAnsi" w:cstheme="majorHAnsi"/>
          <w:kern w:val="2"/>
          <w:sz w:val="24"/>
          <w:szCs w:val="24"/>
          <w:lang w:eastAsia="en-US"/>
        </w:rPr>
      </w:pPr>
    </w:p>
    <w:p w:rsidR="00D328EC" w:rsidRDefault="00D328EC"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184646" w:rsidRDefault="00184646" w:rsidP="00B40661">
      <w:pPr>
        <w:spacing w:after="120" w:line="240" w:lineRule="auto"/>
        <w:ind w:firstLine="425"/>
        <w:rPr>
          <w:rFonts w:asciiTheme="majorHAnsi" w:hAnsiTheme="majorHAnsi" w:cstheme="majorHAnsi"/>
          <w:b/>
          <w:bCs/>
          <w:color w:val="C00000"/>
          <w:sz w:val="24"/>
          <w:szCs w:val="24"/>
        </w:rPr>
      </w:pPr>
    </w:p>
    <w:p w:rsidR="00D328EC" w:rsidRPr="00184646" w:rsidRDefault="00D328EC" w:rsidP="00184646">
      <w:pPr>
        <w:pStyle w:val="Titolo1"/>
        <w:jc w:val="center"/>
        <w:rPr>
          <w:rFonts w:asciiTheme="majorHAnsi" w:hAnsiTheme="majorHAnsi" w:cstheme="majorHAnsi"/>
          <w:color w:val="FF0000"/>
          <w:sz w:val="24"/>
          <w:szCs w:val="24"/>
        </w:rPr>
      </w:pPr>
      <w:bookmarkStart w:id="1" w:name="_Toc140494798"/>
      <w:r w:rsidRPr="00184646">
        <w:rPr>
          <w:rFonts w:asciiTheme="majorHAnsi" w:hAnsiTheme="majorHAnsi" w:cstheme="majorHAnsi"/>
          <w:bCs/>
          <w:color w:val="FF0000"/>
          <w:sz w:val="24"/>
          <w:szCs w:val="24"/>
        </w:rPr>
        <w:lastRenderedPageBreak/>
        <w:t>CONTROVERSIE IN MATERIA DI LICENZIAMENTO</w:t>
      </w:r>
      <w:bookmarkEnd w:id="1"/>
    </w:p>
    <w:p w:rsidR="00D328EC" w:rsidRPr="00184646" w:rsidRDefault="00184646" w:rsidP="00B40661">
      <w:pPr>
        <w:spacing w:after="120" w:line="240" w:lineRule="auto"/>
        <w:jc w:val="center"/>
        <w:rPr>
          <w:rFonts w:asciiTheme="majorHAnsi" w:hAnsiTheme="majorHAnsi" w:cstheme="majorHAnsi"/>
          <w:b/>
          <w:bCs/>
          <w:color w:val="FF0000"/>
          <w:sz w:val="24"/>
          <w:szCs w:val="24"/>
        </w:rPr>
      </w:pPr>
      <w:r>
        <w:rPr>
          <w:rFonts w:asciiTheme="majorHAnsi" w:hAnsiTheme="majorHAnsi" w:cstheme="majorHAnsi"/>
          <w:b/>
          <w:bCs/>
          <w:color w:val="FF0000"/>
          <w:sz w:val="24"/>
          <w:szCs w:val="24"/>
        </w:rPr>
        <w:t>(</w:t>
      </w:r>
      <w:r w:rsidRPr="00184646">
        <w:rPr>
          <w:rFonts w:asciiTheme="majorHAnsi" w:hAnsiTheme="majorHAnsi" w:cstheme="majorHAnsi"/>
          <w:b/>
          <w:bCs/>
          <w:color w:val="FF0000"/>
          <w:sz w:val="24"/>
          <w:szCs w:val="24"/>
        </w:rPr>
        <w:t xml:space="preserve">Art. 441 </w:t>
      </w:r>
      <w:r w:rsidRPr="00184646">
        <w:rPr>
          <w:rFonts w:asciiTheme="majorHAnsi" w:hAnsiTheme="majorHAnsi" w:cstheme="majorHAnsi"/>
          <w:b/>
          <w:bCs/>
          <w:i/>
          <w:color w:val="FF0000"/>
          <w:sz w:val="24"/>
          <w:szCs w:val="24"/>
        </w:rPr>
        <w:t>bis</w:t>
      </w:r>
      <w:r w:rsidRPr="00184646">
        <w:rPr>
          <w:rFonts w:asciiTheme="majorHAnsi" w:hAnsiTheme="majorHAnsi" w:cstheme="majorHAnsi"/>
          <w:b/>
          <w:bCs/>
          <w:color w:val="FF0000"/>
          <w:sz w:val="24"/>
          <w:szCs w:val="24"/>
        </w:rPr>
        <w:t xml:space="preserve"> c.p.c.</w:t>
      </w:r>
      <w:r w:rsidR="00D328EC" w:rsidRPr="00184646">
        <w:rPr>
          <w:rStyle w:val="Rimandonotaapidipagina"/>
          <w:rFonts w:asciiTheme="majorHAnsi" w:hAnsiTheme="majorHAnsi" w:cstheme="majorHAnsi"/>
          <w:b/>
          <w:bCs/>
          <w:color w:val="FF0000"/>
          <w:sz w:val="24"/>
          <w:szCs w:val="24"/>
        </w:rPr>
        <w:footnoteReference w:id="5"/>
      </w:r>
      <w:r>
        <w:rPr>
          <w:rFonts w:asciiTheme="majorHAnsi" w:hAnsiTheme="majorHAnsi" w:cstheme="majorHAnsi"/>
          <w:b/>
          <w:bCs/>
          <w:color w:val="FF0000"/>
          <w:sz w:val="24"/>
          <w:szCs w:val="24"/>
        </w:rPr>
        <w:t>)</w:t>
      </w:r>
    </w:p>
    <w:p w:rsidR="00D328EC" w:rsidRPr="00B40661" w:rsidRDefault="00D328EC" w:rsidP="00B40661">
      <w:pPr>
        <w:spacing w:after="120" w:line="240" w:lineRule="auto"/>
        <w:ind w:firstLine="425"/>
        <w:rPr>
          <w:rFonts w:asciiTheme="majorHAnsi" w:hAnsiTheme="majorHAnsi" w:cstheme="majorHAnsi"/>
          <w:sz w:val="24"/>
          <w:szCs w:val="24"/>
        </w:rPr>
      </w:pPr>
    </w:p>
    <w:p w:rsidR="00D328EC" w:rsidRPr="00B40661" w:rsidRDefault="00D328EC" w:rsidP="00184646">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In tema di licenziamento, il D.lgs. 10 ottobre 2022</w:t>
      </w:r>
      <w:r w:rsidR="00184646">
        <w:rPr>
          <w:rFonts w:asciiTheme="majorHAnsi" w:hAnsiTheme="majorHAnsi" w:cstheme="majorHAnsi"/>
          <w:sz w:val="24"/>
          <w:szCs w:val="24"/>
        </w:rPr>
        <w:t>,</w:t>
      </w:r>
      <w:r w:rsidRPr="00B40661">
        <w:rPr>
          <w:rFonts w:asciiTheme="majorHAnsi" w:hAnsiTheme="majorHAnsi" w:cstheme="majorHAnsi"/>
          <w:sz w:val="24"/>
          <w:szCs w:val="24"/>
        </w:rPr>
        <w:t xml:space="preserve"> n. 149:</w:t>
      </w:r>
    </w:p>
    <w:p w:rsidR="00D328EC" w:rsidRPr="00B40661" w:rsidRDefault="00D328EC" w:rsidP="00184646">
      <w:pPr>
        <w:pStyle w:val="Paragrafoelenco"/>
        <w:numPr>
          <w:ilvl w:val="0"/>
          <w:numId w:val="28"/>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ha disposto l’</w:t>
      </w:r>
      <w:r w:rsidRPr="00B40661">
        <w:rPr>
          <w:rFonts w:asciiTheme="majorHAnsi" w:hAnsiTheme="majorHAnsi" w:cstheme="majorHAnsi"/>
          <w:b/>
          <w:sz w:val="24"/>
          <w:szCs w:val="24"/>
        </w:rPr>
        <w:t xml:space="preserve">abrogazione </w:t>
      </w:r>
      <w:r w:rsidRPr="00B40661">
        <w:rPr>
          <w:rFonts w:asciiTheme="majorHAnsi" w:hAnsiTheme="majorHAnsi" w:cstheme="majorHAnsi"/>
          <w:sz w:val="24"/>
          <w:szCs w:val="24"/>
        </w:rPr>
        <w:t>dell’art. 1, commi dal 47 al 69</w:t>
      </w:r>
      <w:r w:rsidR="00184646">
        <w:rPr>
          <w:rFonts w:asciiTheme="majorHAnsi" w:hAnsiTheme="majorHAnsi" w:cstheme="majorHAnsi"/>
          <w:sz w:val="24"/>
          <w:szCs w:val="24"/>
        </w:rPr>
        <w:t>,</w:t>
      </w:r>
      <w:r w:rsidRPr="00B40661">
        <w:rPr>
          <w:rFonts w:asciiTheme="majorHAnsi" w:hAnsiTheme="majorHAnsi" w:cstheme="majorHAnsi"/>
          <w:sz w:val="24"/>
          <w:szCs w:val="24"/>
        </w:rPr>
        <w:t xml:space="preserve"> della </w:t>
      </w:r>
      <w:r w:rsidR="00184646">
        <w:rPr>
          <w:rFonts w:asciiTheme="majorHAnsi" w:hAnsiTheme="majorHAnsi" w:cstheme="majorHAnsi"/>
          <w:sz w:val="24"/>
          <w:szCs w:val="24"/>
        </w:rPr>
        <w:t>l</w:t>
      </w:r>
      <w:r w:rsidRPr="00B40661">
        <w:rPr>
          <w:rFonts w:asciiTheme="majorHAnsi" w:hAnsiTheme="majorHAnsi" w:cstheme="majorHAnsi"/>
          <w:sz w:val="24"/>
          <w:szCs w:val="24"/>
        </w:rPr>
        <w:t xml:space="preserve">. 92/2012 e, dunque, del c.d. </w:t>
      </w:r>
      <w:r w:rsidRPr="00B40661">
        <w:rPr>
          <w:rFonts w:asciiTheme="majorHAnsi" w:hAnsiTheme="majorHAnsi" w:cstheme="majorHAnsi"/>
          <w:b/>
          <w:sz w:val="24"/>
          <w:szCs w:val="24"/>
        </w:rPr>
        <w:t>rito Fornero</w:t>
      </w:r>
      <w:r w:rsidRPr="00184646">
        <w:rPr>
          <w:rStyle w:val="Rimandonotaapidipagina"/>
          <w:rFonts w:asciiTheme="majorHAnsi" w:hAnsiTheme="majorHAnsi" w:cstheme="majorHAnsi"/>
          <w:bCs/>
          <w:sz w:val="24"/>
          <w:szCs w:val="24"/>
        </w:rPr>
        <w:footnoteReference w:id="6"/>
      </w:r>
      <w:r w:rsidR="00184646">
        <w:rPr>
          <w:rFonts w:asciiTheme="majorHAnsi" w:hAnsiTheme="majorHAnsi" w:cstheme="majorHAnsi"/>
          <w:bCs/>
          <w:sz w:val="24"/>
          <w:szCs w:val="24"/>
        </w:rPr>
        <w:t xml:space="preserve">, </w:t>
      </w:r>
      <w:r w:rsidRPr="00184646">
        <w:rPr>
          <w:rFonts w:asciiTheme="majorHAnsi" w:hAnsiTheme="majorHAnsi" w:cstheme="majorHAnsi"/>
          <w:bCs/>
          <w:sz w:val="24"/>
          <w:szCs w:val="24"/>
        </w:rPr>
        <w:t>relativo</w:t>
      </w:r>
      <w:r w:rsidRPr="00B40661">
        <w:rPr>
          <w:rFonts w:asciiTheme="majorHAnsi" w:hAnsiTheme="majorHAnsi" w:cstheme="majorHAnsi"/>
          <w:sz w:val="24"/>
          <w:szCs w:val="24"/>
        </w:rPr>
        <w:t xml:space="preserve"> alle controversie sui licenziamenti di cui all’art. 18 della Legge 20 maggio 1970, n. 300 (c.d. Statuto dei lavoratori) e </w:t>
      </w:r>
      <w:proofErr w:type="spellStart"/>
      <w:r w:rsidRPr="00B40661">
        <w:rPr>
          <w:rFonts w:asciiTheme="majorHAnsi" w:hAnsiTheme="majorHAnsi" w:cstheme="majorHAnsi"/>
          <w:sz w:val="24"/>
          <w:szCs w:val="24"/>
        </w:rPr>
        <w:t>ss.mm.ii.</w:t>
      </w:r>
      <w:proofErr w:type="spellEnd"/>
      <w:r w:rsidRPr="00B40661">
        <w:rPr>
          <w:rFonts w:asciiTheme="majorHAnsi" w:hAnsiTheme="majorHAnsi" w:cstheme="majorHAnsi"/>
          <w:sz w:val="24"/>
          <w:szCs w:val="24"/>
        </w:rPr>
        <w:t>;</w:t>
      </w:r>
    </w:p>
    <w:p w:rsidR="00D328EC" w:rsidRPr="00B40661" w:rsidRDefault="00D328EC" w:rsidP="00184646">
      <w:pPr>
        <w:pStyle w:val="Paragrafoelenco"/>
        <w:numPr>
          <w:ilvl w:val="0"/>
          <w:numId w:val="28"/>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ha introdotto nel Libro II, Titolo IV</w:t>
      </w:r>
      <w:r w:rsidR="00184646">
        <w:rPr>
          <w:rFonts w:asciiTheme="majorHAnsi" w:hAnsiTheme="majorHAnsi" w:cstheme="majorHAnsi"/>
          <w:sz w:val="24"/>
          <w:szCs w:val="24"/>
        </w:rPr>
        <w:t xml:space="preserve">, </w:t>
      </w:r>
      <w:r w:rsidRPr="00B40661">
        <w:rPr>
          <w:rFonts w:asciiTheme="majorHAnsi" w:hAnsiTheme="majorHAnsi" w:cstheme="majorHAnsi"/>
          <w:sz w:val="24"/>
          <w:szCs w:val="24"/>
        </w:rPr>
        <w:t xml:space="preserve">del codice di procedura civile il nuovo </w:t>
      </w:r>
      <w:r w:rsidRPr="00B40661">
        <w:rPr>
          <w:rFonts w:asciiTheme="majorHAnsi" w:hAnsiTheme="majorHAnsi" w:cstheme="majorHAnsi"/>
          <w:b/>
          <w:sz w:val="24"/>
          <w:szCs w:val="24"/>
        </w:rPr>
        <w:t>Capo I-</w:t>
      </w:r>
      <w:r w:rsidRPr="00184646">
        <w:rPr>
          <w:rFonts w:asciiTheme="majorHAnsi" w:hAnsiTheme="majorHAnsi" w:cstheme="majorHAnsi"/>
          <w:b/>
          <w:i/>
          <w:iCs/>
          <w:sz w:val="24"/>
          <w:szCs w:val="24"/>
        </w:rPr>
        <w:t>bis</w:t>
      </w:r>
      <w:r w:rsidRPr="00B40661">
        <w:rPr>
          <w:rFonts w:asciiTheme="majorHAnsi" w:hAnsiTheme="majorHAnsi" w:cstheme="majorHAnsi"/>
          <w:sz w:val="24"/>
          <w:szCs w:val="24"/>
        </w:rPr>
        <w:t>, rubricato “</w:t>
      </w:r>
      <w:r w:rsidRPr="00B40661">
        <w:rPr>
          <w:rFonts w:asciiTheme="majorHAnsi" w:hAnsiTheme="majorHAnsi" w:cstheme="majorHAnsi"/>
          <w:i/>
          <w:sz w:val="24"/>
          <w:szCs w:val="24"/>
        </w:rPr>
        <w:t>Delle controversie in materia di licenziamenti</w:t>
      </w:r>
      <w:r w:rsidRPr="00B40661">
        <w:rPr>
          <w:rFonts w:asciiTheme="majorHAnsi" w:hAnsiTheme="majorHAnsi" w:cstheme="majorHAnsi"/>
          <w:sz w:val="24"/>
          <w:szCs w:val="24"/>
        </w:rPr>
        <w:t xml:space="preserve">”, destinato a trovare applicazione ai </w:t>
      </w:r>
      <w:r w:rsidRPr="00B40661">
        <w:rPr>
          <w:rFonts w:asciiTheme="majorHAnsi" w:hAnsiTheme="majorHAnsi" w:cstheme="majorHAnsi"/>
          <w:b/>
          <w:sz w:val="24"/>
          <w:szCs w:val="24"/>
        </w:rPr>
        <w:t>procedimenti instaurati a decorrere dal 28 febbraio 2023</w:t>
      </w:r>
      <w:r w:rsidRPr="00B40661">
        <w:rPr>
          <w:rFonts w:asciiTheme="majorHAnsi" w:hAnsiTheme="majorHAnsi" w:cstheme="majorHAnsi"/>
          <w:sz w:val="24"/>
          <w:szCs w:val="24"/>
        </w:rPr>
        <w:t>.</w:t>
      </w:r>
    </w:p>
    <w:p w:rsidR="00D328EC" w:rsidRPr="00B40661" w:rsidRDefault="00D328EC" w:rsidP="00184646">
      <w:pPr>
        <w:pStyle w:val="Paragrafoelenco"/>
        <w:spacing w:after="120" w:line="240" w:lineRule="auto"/>
        <w:jc w:val="both"/>
        <w:rPr>
          <w:rFonts w:asciiTheme="majorHAnsi" w:hAnsiTheme="majorHAnsi" w:cstheme="majorHAnsi"/>
          <w:sz w:val="24"/>
          <w:szCs w:val="24"/>
        </w:rPr>
      </w:pPr>
    </w:p>
    <w:p w:rsidR="00D328EC" w:rsidRPr="00B40661" w:rsidRDefault="00D328EC" w:rsidP="00184646">
      <w:pPr>
        <w:pStyle w:val="Paragrafoelenco"/>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 xml:space="preserve">Detto Capo consta di tre articoli: </w:t>
      </w:r>
      <w:r w:rsidRPr="00B40661">
        <w:rPr>
          <w:rFonts w:asciiTheme="majorHAnsi" w:hAnsiTheme="majorHAnsi" w:cstheme="majorHAnsi"/>
          <w:b/>
          <w:sz w:val="24"/>
          <w:szCs w:val="24"/>
        </w:rPr>
        <w:t>441</w:t>
      </w:r>
      <w:r w:rsidR="00184646">
        <w:rPr>
          <w:rFonts w:asciiTheme="majorHAnsi" w:hAnsiTheme="majorHAnsi" w:cstheme="majorHAnsi"/>
          <w:b/>
          <w:sz w:val="24"/>
          <w:szCs w:val="24"/>
        </w:rPr>
        <w:t xml:space="preserve"> </w:t>
      </w:r>
      <w:r w:rsidRPr="00184646">
        <w:rPr>
          <w:rFonts w:asciiTheme="majorHAnsi" w:hAnsiTheme="majorHAnsi" w:cstheme="majorHAnsi"/>
          <w:b/>
          <w:i/>
          <w:iCs/>
          <w:sz w:val="24"/>
          <w:szCs w:val="24"/>
        </w:rPr>
        <w:t>bis</w:t>
      </w:r>
      <w:r w:rsidRPr="00B40661">
        <w:rPr>
          <w:rFonts w:asciiTheme="majorHAnsi" w:hAnsiTheme="majorHAnsi" w:cstheme="majorHAnsi"/>
          <w:b/>
          <w:sz w:val="24"/>
          <w:szCs w:val="24"/>
        </w:rPr>
        <w:t>, 441</w:t>
      </w:r>
      <w:r w:rsidR="00184646">
        <w:rPr>
          <w:rFonts w:asciiTheme="majorHAnsi" w:hAnsiTheme="majorHAnsi" w:cstheme="majorHAnsi"/>
          <w:b/>
          <w:sz w:val="24"/>
          <w:szCs w:val="24"/>
        </w:rPr>
        <w:t xml:space="preserve"> </w:t>
      </w:r>
      <w:r w:rsidRPr="00184646">
        <w:rPr>
          <w:rFonts w:asciiTheme="majorHAnsi" w:hAnsiTheme="majorHAnsi" w:cstheme="majorHAnsi"/>
          <w:b/>
          <w:i/>
          <w:iCs/>
          <w:sz w:val="24"/>
          <w:szCs w:val="24"/>
        </w:rPr>
        <w:t>ter</w:t>
      </w:r>
      <w:r w:rsidRPr="00B40661">
        <w:rPr>
          <w:rFonts w:asciiTheme="majorHAnsi" w:hAnsiTheme="majorHAnsi" w:cstheme="majorHAnsi"/>
          <w:b/>
          <w:sz w:val="24"/>
          <w:szCs w:val="24"/>
        </w:rPr>
        <w:t xml:space="preserve"> e 441</w:t>
      </w:r>
      <w:r w:rsidR="00184646">
        <w:rPr>
          <w:rFonts w:asciiTheme="majorHAnsi" w:hAnsiTheme="majorHAnsi" w:cstheme="majorHAnsi"/>
          <w:b/>
          <w:sz w:val="24"/>
          <w:szCs w:val="24"/>
        </w:rPr>
        <w:t xml:space="preserve"> </w:t>
      </w:r>
      <w:r w:rsidRPr="00184646">
        <w:rPr>
          <w:rFonts w:asciiTheme="majorHAnsi" w:hAnsiTheme="majorHAnsi" w:cstheme="majorHAnsi"/>
          <w:b/>
          <w:i/>
          <w:iCs/>
          <w:sz w:val="24"/>
          <w:szCs w:val="24"/>
        </w:rPr>
        <w:t>quater</w:t>
      </w:r>
      <w:r w:rsidRPr="00B40661">
        <w:rPr>
          <w:rFonts w:asciiTheme="majorHAnsi" w:hAnsiTheme="majorHAnsi" w:cstheme="majorHAnsi"/>
          <w:b/>
          <w:sz w:val="24"/>
          <w:szCs w:val="24"/>
        </w:rPr>
        <w:t xml:space="preserve"> c.p.c.</w:t>
      </w:r>
    </w:p>
    <w:p w:rsidR="00D328EC" w:rsidRPr="00B40661" w:rsidRDefault="00D328EC" w:rsidP="00184646">
      <w:pPr>
        <w:spacing w:after="120" w:line="240" w:lineRule="auto"/>
        <w:ind w:firstLine="425"/>
        <w:jc w:val="both"/>
        <w:rPr>
          <w:rFonts w:asciiTheme="majorHAnsi" w:hAnsiTheme="majorHAnsi" w:cstheme="majorHAnsi"/>
          <w:sz w:val="24"/>
          <w:szCs w:val="24"/>
        </w:rPr>
      </w:pPr>
    </w:p>
    <w:p w:rsidR="00D328EC" w:rsidRPr="00B40661" w:rsidRDefault="00D328EC" w:rsidP="00184646">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 xml:space="preserve">L’articolo </w:t>
      </w:r>
      <w:r w:rsidRPr="00B40661">
        <w:rPr>
          <w:rFonts w:asciiTheme="majorHAnsi" w:hAnsiTheme="majorHAnsi" w:cstheme="majorHAnsi"/>
          <w:b/>
          <w:sz w:val="24"/>
          <w:szCs w:val="24"/>
        </w:rPr>
        <w:t>441-</w:t>
      </w:r>
      <w:r w:rsidRPr="00184646">
        <w:rPr>
          <w:rFonts w:asciiTheme="majorHAnsi" w:hAnsiTheme="majorHAnsi" w:cstheme="majorHAnsi"/>
          <w:b/>
          <w:i/>
          <w:iCs/>
          <w:sz w:val="24"/>
          <w:szCs w:val="24"/>
        </w:rPr>
        <w:t>bis</w:t>
      </w:r>
      <w:r w:rsidRPr="00B40661">
        <w:rPr>
          <w:rFonts w:asciiTheme="majorHAnsi" w:hAnsiTheme="majorHAnsi" w:cstheme="majorHAnsi"/>
          <w:sz w:val="24"/>
          <w:szCs w:val="24"/>
        </w:rPr>
        <w:t xml:space="preserve"> c.p.c., rubricato “Controversie in materia di licenziamento”, in particolare, disciplina la trattazione e la decisione delle cause di </w:t>
      </w:r>
      <w:r w:rsidRPr="00B40661">
        <w:rPr>
          <w:rFonts w:asciiTheme="majorHAnsi" w:hAnsiTheme="majorHAnsi" w:cstheme="majorHAnsi"/>
          <w:b/>
          <w:sz w:val="24"/>
          <w:szCs w:val="24"/>
        </w:rPr>
        <w:t>impugnazione dei licenziamenti nelle quali è proposta domanda di reintegrazione nel posto di lavoro</w:t>
      </w:r>
      <w:r w:rsidRPr="00B40661">
        <w:rPr>
          <w:rFonts w:asciiTheme="majorHAnsi" w:hAnsiTheme="majorHAnsi" w:cstheme="majorHAnsi"/>
          <w:sz w:val="24"/>
          <w:szCs w:val="24"/>
        </w:rPr>
        <w:t xml:space="preserve">. </w:t>
      </w:r>
    </w:p>
    <w:p w:rsidR="00D328EC" w:rsidRPr="00B40661" w:rsidRDefault="00D328EC" w:rsidP="00184646">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A tali controversie, per espressa previsione legislativa:</w:t>
      </w:r>
    </w:p>
    <w:p w:rsidR="00D328EC" w:rsidRPr="00B40661" w:rsidRDefault="00D328EC" w:rsidP="00184646">
      <w:pPr>
        <w:pStyle w:val="Paragrafoelenco"/>
        <w:numPr>
          <w:ilvl w:val="0"/>
          <w:numId w:val="29"/>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 xml:space="preserve">è accordato </w:t>
      </w:r>
      <w:r w:rsidRPr="00B40661">
        <w:rPr>
          <w:rFonts w:asciiTheme="majorHAnsi" w:hAnsiTheme="majorHAnsi" w:cstheme="majorHAnsi"/>
          <w:b/>
          <w:sz w:val="24"/>
          <w:szCs w:val="24"/>
        </w:rPr>
        <w:t>carattere prioritario</w:t>
      </w:r>
      <w:r w:rsidRPr="00B40661">
        <w:rPr>
          <w:rFonts w:asciiTheme="majorHAnsi" w:hAnsiTheme="majorHAnsi" w:cstheme="majorHAnsi"/>
          <w:sz w:val="24"/>
          <w:szCs w:val="24"/>
        </w:rPr>
        <w:t xml:space="preserve"> rispetto alle altre pendenti sul ruolo del giudice, </w:t>
      </w:r>
      <w:r w:rsidRPr="00B40661">
        <w:rPr>
          <w:rFonts w:asciiTheme="majorHAnsi" w:hAnsiTheme="majorHAnsi" w:cstheme="majorHAnsi"/>
          <w:b/>
          <w:sz w:val="24"/>
          <w:szCs w:val="24"/>
        </w:rPr>
        <w:t>anche quando debbono essere risolte questioni relative alla qualificazione del rapporto tra le parti</w:t>
      </w:r>
      <w:r w:rsidRPr="00B40661">
        <w:rPr>
          <w:rFonts w:asciiTheme="majorHAnsi" w:hAnsiTheme="majorHAnsi" w:cstheme="majorHAnsi"/>
          <w:sz w:val="24"/>
          <w:szCs w:val="24"/>
        </w:rPr>
        <w:t>;</w:t>
      </w:r>
    </w:p>
    <w:p w:rsidR="00D328EC" w:rsidRPr="00B40661" w:rsidRDefault="00D328EC" w:rsidP="00184646">
      <w:pPr>
        <w:pStyle w:val="Paragrafoelenco"/>
        <w:numPr>
          <w:ilvl w:val="0"/>
          <w:numId w:val="29"/>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 xml:space="preserve">si applicano le disposizioni del </w:t>
      </w:r>
      <w:r w:rsidRPr="00B40661">
        <w:rPr>
          <w:rFonts w:asciiTheme="majorHAnsi" w:hAnsiTheme="majorHAnsi" w:cstheme="majorHAnsi"/>
          <w:b/>
          <w:sz w:val="24"/>
          <w:szCs w:val="24"/>
        </w:rPr>
        <w:t>processo del lavoro</w:t>
      </w:r>
      <w:r w:rsidRPr="00B40661">
        <w:rPr>
          <w:rFonts w:asciiTheme="majorHAnsi" w:hAnsiTheme="majorHAnsi" w:cstheme="majorHAnsi"/>
          <w:sz w:val="24"/>
          <w:szCs w:val="24"/>
        </w:rPr>
        <w:t xml:space="preserve"> di cui agli artt. 409 ss. c.p.c., salvo quanto specificamente stabilito dallo stesso art. 441</w:t>
      </w:r>
      <w:r w:rsidR="00184646">
        <w:rPr>
          <w:rFonts w:asciiTheme="majorHAnsi" w:hAnsiTheme="majorHAnsi" w:cstheme="majorHAnsi"/>
          <w:sz w:val="24"/>
          <w:szCs w:val="24"/>
        </w:rPr>
        <w:t xml:space="preserve"> </w:t>
      </w:r>
      <w:r w:rsidRPr="00184646">
        <w:rPr>
          <w:rFonts w:asciiTheme="majorHAnsi" w:hAnsiTheme="majorHAnsi" w:cstheme="majorHAnsi"/>
          <w:i/>
          <w:iCs/>
          <w:sz w:val="24"/>
          <w:szCs w:val="24"/>
        </w:rPr>
        <w:t>bis</w:t>
      </w:r>
      <w:r w:rsidRPr="00B40661">
        <w:rPr>
          <w:rFonts w:asciiTheme="majorHAnsi" w:hAnsiTheme="majorHAnsi" w:cstheme="majorHAnsi"/>
          <w:sz w:val="24"/>
          <w:szCs w:val="24"/>
        </w:rPr>
        <w:t xml:space="preserve"> c.p.c.</w:t>
      </w:r>
    </w:p>
    <w:p w:rsidR="00D328EC" w:rsidRPr="00B40661" w:rsidRDefault="00D328EC" w:rsidP="00184646">
      <w:pPr>
        <w:spacing w:after="120" w:line="240" w:lineRule="auto"/>
        <w:ind w:firstLine="425"/>
        <w:jc w:val="both"/>
        <w:rPr>
          <w:rFonts w:asciiTheme="majorHAnsi" w:hAnsiTheme="majorHAnsi" w:cstheme="majorHAnsi"/>
          <w:sz w:val="24"/>
          <w:szCs w:val="24"/>
        </w:rPr>
      </w:pPr>
    </w:p>
    <w:p w:rsidR="00D328EC" w:rsidRPr="00B40661" w:rsidRDefault="00D328EC" w:rsidP="00184646">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 xml:space="preserve">Proprio al fine di garantire la predetta priorità dei giudizi in materia di licenziamento con tutela reale, la c.d. riforma Cartabia, inoltre, ha innestato nel </w:t>
      </w:r>
      <w:r w:rsidRPr="00B40661">
        <w:rPr>
          <w:rFonts w:asciiTheme="majorHAnsi" w:hAnsiTheme="majorHAnsi" w:cstheme="majorHAnsi"/>
          <w:i/>
          <w:sz w:val="24"/>
          <w:szCs w:val="24"/>
        </w:rPr>
        <w:t>corpus</w:t>
      </w:r>
      <w:r w:rsidRPr="00B40661">
        <w:rPr>
          <w:rFonts w:asciiTheme="majorHAnsi" w:hAnsiTheme="majorHAnsi" w:cstheme="majorHAnsi"/>
          <w:sz w:val="24"/>
          <w:szCs w:val="24"/>
        </w:rPr>
        <w:t xml:space="preserve"> delle </w:t>
      </w:r>
      <w:r w:rsidRPr="00184646">
        <w:rPr>
          <w:rFonts w:asciiTheme="majorHAnsi" w:hAnsiTheme="majorHAnsi" w:cstheme="majorHAnsi"/>
          <w:i/>
          <w:iCs/>
          <w:sz w:val="24"/>
          <w:szCs w:val="24"/>
        </w:rPr>
        <w:t xml:space="preserve">Disposizioni per </w:t>
      </w:r>
      <w:r w:rsidRPr="00184646">
        <w:rPr>
          <w:rFonts w:asciiTheme="majorHAnsi" w:hAnsiTheme="majorHAnsi" w:cstheme="majorHAnsi"/>
          <w:i/>
          <w:iCs/>
          <w:sz w:val="24"/>
          <w:szCs w:val="24"/>
        </w:rPr>
        <w:lastRenderedPageBreak/>
        <w:t>l’attuazione del codice di procedura civile e disposizioni transitorie</w:t>
      </w:r>
      <w:r w:rsidRPr="00B40661">
        <w:rPr>
          <w:rFonts w:asciiTheme="majorHAnsi" w:hAnsiTheme="majorHAnsi" w:cstheme="majorHAnsi"/>
          <w:sz w:val="24"/>
          <w:szCs w:val="24"/>
        </w:rPr>
        <w:t xml:space="preserve"> il nuovo art. </w:t>
      </w:r>
      <w:r w:rsidRPr="00B40661">
        <w:rPr>
          <w:rFonts w:asciiTheme="majorHAnsi" w:hAnsiTheme="majorHAnsi" w:cstheme="majorHAnsi"/>
          <w:b/>
          <w:sz w:val="24"/>
          <w:szCs w:val="24"/>
        </w:rPr>
        <w:t>144</w:t>
      </w:r>
      <w:r w:rsidR="00184646">
        <w:rPr>
          <w:rFonts w:asciiTheme="majorHAnsi" w:hAnsiTheme="majorHAnsi" w:cstheme="majorHAnsi"/>
          <w:b/>
          <w:sz w:val="24"/>
          <w:szCs w:val="24"/>
        </w:rPr>
        <w:t xml:space="preserve"> </w:t>
      </w:r>
      <w:r w:rsidRPr="00184646">
        <w:rPr>
          <w:rFonts w:asciiTheme="majorHAnsi" w:hAnsiTheme="majorHAnsi" w:cstheme="majorHAnsi"/>
          <w:b/>
          <w:i/>
          <w:iCs/>
          <w:sz w:val="24"/>
          <w:szCs w:val="24"/>
        </w:rPr>
        <w:t>quinquies</w:t>
      </w:r>
      <w:r w:rsidRPr="00184646">
        <w:rPr>
          <w:rStyle w:val="Rimandonotaapidipagina"/>
          <w:rFonts w:asciiTheme="majorHAnsi" w:hAnsiTheme="majorHAnsi" w:cstheme="majorHAnsi"/>
          <w:bCs/>
          <w:sz w:val="24"/>
          <w:szCs w:val="24"/>
        </w:rPr>
        <w:footnoteReference w:id="7"/>
      </w:r>
      <w:r w:rsidRPr="00184646">
        <w:rPr>
          <w:rFonts w:asciiTheme="majorHAnsi" w:hAnsiTheme="majorHAnsi" w:cstheme="majorHAnsi"/>
          <w:bCs/>
          <w:sz w:val="24"/>
          <w:szCs w:val="24"/>
        </w:rPr>
        <w:t xml:space="preserve">, </w:t>
      </w:r>
      <w:r w:rsidRPr="00B40661">
        <w:rPr>
          <w:rFonts w:asciiTheme="majorHAnsi" w:hAnsiTheme="majorHAnsi" w:cstheme="majorHAnsi"/>
          <w:sz w:val="24"/>
          <w:szCs w:val="24"/>
        </w:rPr>
        <w:t>in forza del quale:</w:t>
      </w:r>
    </w:p>
    <w:p w:rsidR="00D328EC" w:rsidRPr="00B40661" w:rsidRDefault="00D328EC" w:rsidP="00184646">
      <w:pPr>
        <w:pStyle w:val="Paragrafoelenco"/>
        <w:numPr>
          <w:ilvl w:val="0"/>
          <w:numId w:val="30"/>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il presidente di sezione e il dirigente dell</w:t>
      </w:r>
      <w:r w:rsidR="00184646">
        <w:rPr>
          <w:rFonts w:asciiTheme="majorHAnsi" w:hAnsiTheme="majorHAnsi" w:cstheme="majorHAnsi"/>
          <w:sz w:val="24"/>
          <w:szCs w:val="24"/>
        </w:rPr>
        <w:t>’</w:t>
      </w:r>
      <w:r w:rsidRPr="00B40661">
        <w:rPr>
          <w:rFonts w:asciiTheme="majorHAnsi" w:hAnsiTheme="majorHAnsi" w:cstheme="majorHAnsi"/>
          <w:sz w:val="24"/>
          <w:szCs w:val="24"/>
        </w:rPr>
        <w:t xml:space="preserve">ufficio giudiziario </w:t>
      </w:r>
      <w:r w:rsidRPr="00B40661">
        <w:rPr>
          <w:rFonts w:asciiTheme="majorHAnsi" w:hAnsiTheme="majorHAnsi" w:cstheme="majorHAnsi"/>
          <w:b/>
          <w:sz w:val="24"/>
          <w:szCs w:val="24"/>
        </w:rPr>
        <w:t>favoriscono e verificano</w:t>
      </w:r>
      <w:r w:rsidRPr="00B40661">
        <w:rPr>
          <w:rFonts w:asciiTheme="majorHAnsi" w:hAnsiTheme="majorHAnsi" w:cstheme="majorHAnsi"/>
          <w:sz w:val="24"/>
          <w:szCs w:val="24"/>
        </w:rPr>
        <w:t xml:space="preserve"> </w:t>
      </w:r>
      <w:r w:rsidRPr="00B40661">
        <w:rPr>
          <w:rFonts w:asciiTheme="majorHAnsi" w:hAnsiTheme="majorHAnsi" w:cstheme="majorHAnsi"/>
          <w:b/>
          <w:sz w:val="24"/>
          <w:szCs w:val="24"/>
        </w:rPr>
        <w:t>la trattazione prioritaria</w:t>
      </w:r>
      <w:r w:rsidRPr="00B40661">
        <w:rPr>
          <w:rFonts w:asciiTheme="majorHAnsi" w:hAnsiTheme="majorHAnsi" w:cstheme="majorHAnsi"/>
          <w:sz w:val="24"/>
          <w:szCs w:val="24"/>
        </w:rPr>
        <w:t xml:space="preserve"> dei procedimenti in materia di licenziamenti di cui al Capo I</w:t>
      </w:r>
      <w:r w:rsidR="00184646">
        <w:rPr>
          <w:rFonts w:asciiTheme="majorHAnsi" w:hAnsiTheme="majorHAnsi" w:cstheme="majorHAnsi"/>
          <w:sz w:val="24"/>
          <w:szCs w:val="24"/>
        </w:rPr>
        <w:t xml:space="preserve"> </w:t>
      </w:r>
      <w:r w:rsidRPr="00184646">
        <w:rPr>
          <w:rFonts w:asciiTheme="majorHAnsi" w:hAnsiTheme="majorHAnsi" w:cstheme="majorHAnsi"/>
          <w:i/>
          <w:iCs/>
          <w:sz w:val="24"/>
          <w:szCs w:val="24"/>
        </w:rPr>
        <w:t>bis</w:t>
      </w:r>
      <w:r w:rsidRPr="00B40661">
        <w:rPr>
          <w:rFonts w:asciiTheme="majorHAnsi" w:hAnsiTheme="majorHAnsi" w:cstheme="majorHAnsi"/>
          <w:sz w:val="24"/>
          <w:szCs w:val="24"/>
        </w:rPr>
        <w:t>;</w:t>
      </w:r>
    </w:p>
    <w:p w:rsidR="00D328EC" w:rsidRPr="00B40661" w:rsidRDefault="00D328EC" w:rsidP="00184646">
      <w:pPr>
        <w:pStyle w:val="Paragrafoelenco"/>
        <w:numPr>
          <w:ilvl w:val="0"/>
          <w:numId w:val="30"/>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 xml:space="preserve">presso ciascun ufficio giudiziario sono effettuate </w:t>
      </w:r>
      <w:r w:rsidRPr="00B40661">
        <w:rPr>
          <w:rFonts w:asciiTheme="majorHAnsi" w:hAnsiTheme="majorHAnsi" w:cstheme="majorHAnsi"/>
          <w:b/>
          <w:sz w:val="24"/>
          <w:szCs w:val="24"/>
        </w:rPr>
        <w:t>estrazioni statistiche trimestrali</w:t>
      </w:r>
      <w:r w:rsidRPr="00B40661">
        <w:rPr>
          <w:rFonts w:asciiTheme="majorHAnsi" w:hAnsiTheme="majorHAnsi" w:cstheme="majorHAnsi"/>
          <w:sz w:val="24"/>
          <w:szCs w:val="24"/>
        </w:rPr>
        <w:t xml:space="preserve"> volte a valutare la </w:t>
      </w:r>
      <w:r w:rsidRPr="00B40661">
        <w:rPr>
          <w:rFonts w:asciiTheme="majorHAnsi" w:hAnsiTheme="majorHAnsi" w:cstheme="majorHAnsi"/>
          <w:b/>
          <w:sz w:val="24"/>
          <w:szCs w:val="24"/>
        </w:rPr>
        <w:t>durata media</w:t>
      </w:r>
      <w:r w:rsidRPr="00B40661">
        <w:rPr>
          <w:rFonts w:asciiTheme="majorHAnsi" w:hAnsiTheme="majorHAnsi" w:cstheme="majorHAnsi"/>
          <w:sz w:val="24"/>
          <w:szCs w:val="24"/>
        </w:rPr>
        <w:t xml:space="preserve"> </w:t>
      </w:r>
      <w:r w:rsidRPr="00B40661">
        <w:rPr>
          <w:rFonts w:asciiTheme="majorHAnsi" w:hAnsiTheme="majorHAnsi" w:cstheme="majorHAnsi"/>
          <w:b/>
          <w:sz w:val="24"/>
          <w:szCs w:val="24"/>
        </w:rPr>
        <w:t xml:space="preserve">dei processi di cui all'articolo 441 </w:t>
      </w:r>
      <w:r w:rsidRPr="00184646">
        <w:rPr>
          <w:rFonts w:asciiTheme="majorHAnsi" w:hAnsiTheme="majorHAnsi" w:cstheme="majorHAnsi"/>
          <w:b/>
          <w:i/>
          <w:iCs/>
          <w:sz w:val="24"/>
          <w:szCs w:val="24"/>
        </w:rPr>
        <w:t>bis</w:t>
      </w:r>
      <w:r w:rsidRPr="00B40661">
        <w:rPr>
          <w:rFonts w:asciiTheme="majorHAnsi" w:hAnsiTheme="majorHAnsi" w:cstheme="majorHAnsi"/>
          <w:b/>
          <w:sz w:val="24"/>
          <w:szCs w:val="24"/>
        </w:rPr>
        <w:t xml:space="preserve"> c.p.c.</w:t>
      </w:r>
      <w:r w:rsidRPr="00B40661">
        <w:rPr>
          <w:rFonts w:asciiTheme="majorHAnsi" w:hAnsiTheme="majorHAnsi" w:cstheme="majorHAnsi"/>
          <w:sz w:val="24"/>
          <w:szCs w:val="24"/>
        </w:rPr>
        <w:t>, in confronto con la durata degli altri processi in materia di lavoro.</w:t>
      </w:r>
    </w:p>
    <w:p w:rsidR="00D328EC" w:rsidRPr="00B40661" w:rsidRDefault="00D328EC" w:rsidP="00184646">
      <w:pPr>
        <w:spacing w:after="120" w:line="240" w:lineRule="auto"/>
        <w:ind w:firstLine="425"/>
        <w:jc w:val="both"/>
        <w:rPr>
          <w:rFonts w:asciiTheme="majorHAnsi" w:hAnsiTheme="majorHAnsi" w:cstheme="majorHAnsi"/>
          <w:sz w:val="24"/>
          <w:szCs w:val="24"/>
        </w:rPr>
      </w:pPr>
    </w:p>
    <w:p w:rsidR="00D328EC" w:rsidRPr="00B40661" w:rsidRDefault="00D328EC" w:rsidP="00184646">
      <w:pPr>
        <w:spacing w:after="120" w:line="240" w:lineRule="auto"/>
        <w:ind w:firstLine="425"/>
        <w:jc w:val="both"/>
        <w:rPr>
          <w:rFonts w:asciiTheme="majorHAnsi" w:hAnsiTheme="majorHAnsi" w:cstheme="majorHAnsi"/>
          <w:b/>
          <w:color w:val="FF0000"/>
          <w:sz w:val="24"/>
          <w:szCs w:val="24"/>
        </w:rPr>
      </w:pPr>
      <w:r w:rsidRPr="00B40661">
        <w:rPr>
          <w:rFonts w:asciiTheme="majorHAnsi" w:hAnsiTheme="majorHAnsi" w:cstheme="majorHAnsi"/>
          <w:b/>
          <w:color w:val="FF0000"/>
          <w:sz w:val="24"/>
          <w:szCs w:val="24"/>
        </w:rPr>
        <w:t>Com’è evidente, dunque, la riforma del processo civile, al fine di garantire una trattazione accelerata in tema di impugnative di licenziamento, lungi dall’introdurre un nuovo rito speciale, ha ripristinato l’unicità del rito del lavoro, confidando nella sua naturale celerità e garantendo - anche da punto di vista organizzativo - preminenza ai giudizi con domanda di reintegrazione nel posto di lavoro.</w:t>
      </w:r>
      <w:r w:rsidRPr="00B40661">
        <w:rPr>
          <w:rFonts w:asciiTheme="majorHAnsi" w:hAnsiTheme="majorHAnsi" w:cstheme="majorHAnsi"/>
          <w:b/>
          <w:sz w:val="24"/>
          <w:szCs w:val="24"/>
        </w:rPr>
        <w:t xml:space="preserve"> </w:t>
      </w:r>
    </w:p>
    <w:p w:rsidR="00D328EC" w:rsidRPr="00B40661" w:rsidRDefault="00D328EC" w:rsidP="00184646">
      <w:pPr>
        <w:spacing w:after="120" w:line="240" w:lineRule="auto"/>
        <w:ind w:firstLine="425"/>
        <w:jc w:val="both"/>
        <w:rPr>
          <w:rFonts w:asciiTheme="majorHAnsi" w:hAnsiTheme="majorHAnsi" w:cstheme="majorHAnsi"/>
          <w:sz w:val="24"/>
          <w:szCs w:val="24"/>
        </w:rPr>
      </w:pPr>
    </w:p>
    <w:p w:rsidR="00D328EC" w:rsidRPr="00B40661" w:rsidRDefault="00D328EC" w:rsidP="00184646">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Tale scelta è foriera di importanti conseguenze processuali, atteso che, rispetto al passato:</w:t>
      </w:r>
    </w:p>
    <w:p w:rsidR="00D328EC" w:rsidRPr="00B40661" w:rsidRDefault="00D328EC" w:rsidP="00184646">
      <w:pPr>
        <w:pStyle w:val="Paragrafoelenco"/>
        <w:numPr>
          <w:ilvl w:val="0"/>
          <w:numId w:val="31"/>
        </w:numPr>
        <w:spacing w:after="120" w:line="240" w:lineRule="auto"/>
        <w:jc w:val="both"/>
        <w:rPr>
          <w:rFonts w:asciiTheme="majorHAnsi" w:hAnsiTheme="majorHAnsi" w:cstheme="majorHAnsi"/>
          <w:sz w:val="24"/>
          <w:szCs w:val="24"/>
        </w:rPr>
      </w:pPr>
      <w:r w:rsidRPr="00B40661">
        <w:rPr>
          <w:rFonts w:asciiTheme="majorHAnsi" w:hAnsiTheme="majorHAnsi" w:cstheme="majorHAnsi"/>
          <w:i/>
          <w:iCs/>
          <w:sz w:val="24"/>
          <w:szCs w:val="24"/>
        </w:rPr>
        <w:t>ex</w:t>
      </w:r>
      <w:r w:rsidRPr="00B40661">
        <w:rPr>
          <w:rFonts w:asciiTheme="majorHAnsi" w:hAnsiTheme="majorHAnsi" w:cstheme="majorHAnsi"/>
          <w:sz w:val="24"/>
          <w:szCs w:val="24"/>
        </w:rPr>
        <w:t xml:space="preserve"> art. 414 c.p.c.</w:t>
      </w:r>
      <w:r w:rsidRPr="00B40661">
        <w:rPr>
          <w:rStyle w:val="Rimandonotaapidipagina"/>
          <w:rFonts w:asciiTheme="majorHAnsi" w:hAnsiTheme="majorHAnsi" w:cstheme="majorHAnsi"/>
          <w:sz w:val="24"/>
          <w:szCs w:val="24"/>
        </w:rPr>
        <w:footnoteReference w:id="8"/>
      </w:r>
      <w:r w:rsidRPr="00B40661">
        <w:rPr>
          <w:rFonts w:asciiTheme="majorHAnsi" w:hAnsiTheme="majorHAnsi" w:cstheme="majorHAnsi"/>
          <w:sz w:val="24"/>
          <w:szCs w:val="24"/>
        </w:rPr>
        <w:t xml:space="preserve">, </w:t>
      </w:r>
      <w:r w:rsidR="00184646">
        <w:rPr>
          <w:rFonts w:asciiTheme="majorHAnsi" w:hAnsiTheme="majorHAnsi" w:cstheme="majorHAnsi"/>
          <w:sz w:val="24"/>
          <w:szCs w:val="24"/>
        </w:rPr>
        <w:t xml:space="preserve">il </w:t>
      </w:r>
      <w:r w:rsidRPr="00B40661">
        <w:rPr>
          <w:rFonts w:asciiTheme="majorHAnsi" w:hAnsiTheme="majorHAnsi" w:cstheme="majorHAnsi"/>
          <w:sz w:val="24"/>
          <w:szCs w:val="24"/>
        </w:rPr>
        <w:t xml:space="preserve">ricorso introduttivo dovrà contenere, tra le altre cose, </w:t>
      </w:r>
      <w:r w:rsidRPr="00B40661">
        <w:rPr>
          <w:rFonts w:asciiTheme="majorHAnsi" w:hAnsiTheme="majorHAnsi" w:cstheme="majorHAnsi"/>
          <w:b/>
          <w:sz w:val="24"/>
          <w:szCs w:val="24"/>
        </w:rPr>
        <w:t>l</w:t>
      </w:r>
      <w:r w:rsidR="00184646">
        <w:rPr>
          <w:rFonts w:asciiTheme="majorHAnsi" w:hAnsiTheme="majorHAnsi" w:cstheme="majorHAnsi"/>
          <w:b/>
          <w:sz w:val="24"/>
          <w:szCs w:val="24"/>
        </w:rPr>
        <w:t>’</w:t>
      </w:r>
      <w:r w:rsidRPr="00B40661">
        <w:rPr>
          <w:rFonts w:asciiTheme="majorHAnsi" w:hAnsiTheme="majorHAnsi" w:cstheme="majorHAnsi"/>
          <w:b/>
          <w:sz w:val="24"/>
          <w:szCs w:val="24"/>
        </w:rPr>
        <w:t>indicazione specifica dei mezzi di prova</w:t>
      </w:r>
      <w:r w:rsidRPr="00B40661">
        <w:rPr>
          <w:rFonts w:asciiTheme="majorHAnsi" w:hAnsiTheme="majorHAnsi" w:cstheme="majorHAnsi"/>
          <w:sz w:val="24"/>
          <w:szCs w:val="24"/>
        </w:rPr>
        <w:t xml:space="preserve"> e, in particolare, </w:t>
      </w:r>
      <w:r w:rsidRPr="00B40661">
        <w:rPr>
          <w:rFonts w:asciiTheme="majorHAnsi" w:hAnsiTheme="majorHAnsi" w:cstheme="majorHAnsi"/>
          <w:b/>
          <w:sz w:val="24"/>
          <w:szCs w:val="24"/>
        </w:rPr>
        <w:t>dei documenti che si offrono in comunicazione</w:t>
      </w:r>
      <w:r w:rsidRPr="00B40661">
        <w:rPr>
          <w:rFonts w:asciiTheme="majorHAnsi" w:hAnsiTheme="majorHAnsi" w:cstheme="majorHAnsi"/>
          <w:sz w:val="24"/>
          <w:szCs w:val="24"/>
        </w:rPr>
        <w:t>;</w:t>
      </w:r>
    </w:p>
    <w:p w:rsidR="00D328EC" w:rsidRPr="00B40661" w:rsidRDefault="00D328EC" w:rsidP="00184646">
      <w:pPr>
        <w:pStyle w:val="Paragrafoelenco"/>
        <w:numPr>
          <w:ilvl w:val="0"/>
          <w:numId w:val="31"/>
        </w:numPr>
        <w:spacing w:after="120" w:line="240" w:lineRule="auto"/>
        <w:jc w:val="both"/>
        <w:rPr>
          <w:rFonts w:asciiTheme="majorHAnsi" w:hAnsiTheme="majorHAnsi" w:cstheme="majorHAnsi"/>
          <w:sz w:val="24"/>
          <w:szCs w:val="24"/>
        </w:rPr>
      </w:pPr>
      <w:r w:rsidRPr="00B40661">
        <w:rPr>
          <w:rFonts w:asciiTheme="majorHAnsi" w:hAnsiTheme="majorHAnsi" w:cstheme="majorHAnsi"/>
          <w:i/>
          <w:iCs/>
          <w:sz w:val="24"/>
          <w:szCs w:val="24"/>
        </w:rPr>
        <w:t>ex</w:t>
      </w:r>
      <w:r w:rsidRPr="00B40661">
        <w:rPr>
          <w:rFonts w:asciiTheme="majorHAnsi" w:hAnsiTheme="majorHAnsi" w:cstheme="majorHAnsi"/>
          <w:sz w:val="24"/>
          <w:szCs w:val="24"/>
        </w:rPr>
        <w:t xml:space="preserve"> art. 415 c.p.c.</w:t>
      </w:r>
      <w:r w:rsidRPr="00B40661">
        <w:rPr>
          <w:rStyle w:val="Rimandonotaapidipagina"/>
          <w:rFonts w:asciiTheme="majorHAnsi" w:hAnsiTheme="majorHAnsi" w:cstheme="majorHAnsi"/>
          <w:sz w:val="24"/>
          <w:szCs w:val="24"/>
        </w:rPr>
        <w:footnoteReference w:id="9"/>
      </w:r>
      <w:r w:rsidRPr="00B40661">
        <w:rPr>
          <w:rFonts w:asciiTheme="majorHAnsi" w:hAnsiTheme="majorHAnsi" w:cstheme="majorHAnsi"/>
          <w:sz w:val="24"/>
          <w:szCs w:val="24"/>
        </w:rPr>
        <w:t>, tra il giorno del deposito del ricorso e l</w:t>
      </w:r>
      <w:r w:rsidR="00184646">
        <w:rPr>
          <w:rFonts w:asciiTheme="majorHAnsi" w:hAnsiTheme="majorHAnsi" w:cstheme="majorHAnsi"/>
          <w:sz w:val="24"/>
          <w:szCs w:val="24"/>
        </w:rPr>
        <w:t>’</w:t>
      </w:r>
      <w:r w:rsidRPr="00B40661">
        <w:rPr>
          <w:rFonts w:asciiTheme="majorHAnsi" w:hAnsiTheme="majorHAnsi" w:cstheme="majorHAnsi"/>
          <w:sz w:val="24"/>
          <w:szCs w:val="24"/>
        </w:rPr>
        <w:t xml:space="preserve">udienza di discussione non dovranno intercorrere più di </w:t>
      </w:r>
      <w:r w:rsidRPr="00B40661">
        <w:rPr>
          <w:rFonts w:asciiTheme="majorHAnsi" w:hAnsiTheme="majorHAnsi" w:cstheme="majorHAnsi"/>
          <w:b/>
          <w:sz w:val="24"/>
          <w:szCs w:val="24"/>
        </w:rPr>
        <w:t>60 giorni</w:t>
      </w:r>
      <w:r w:rsidRPr="00B40661">
        <w:rPr>
          <w:rFonts w:asciiTheme="majorHAnsi" w:hAnsiTheme="majorHAnsi" w:cstheme="majorHAnsi"/>
          <w:sz w:val="24"/>
          <w:szCs w:val="24"/>
        </w:rPr>
        <w:t xml:space="preserve"> (e non 40 come nel c.d. rito Fornero) e tra la data di </w:t>
      </w:r>
      <w:r w:rsidRPr="00B40661">
        <w:rPr>
          <w:rFonts w:asciiTheme="majorHAnsi" w:hAnsiTheme="majorHAnsi" w:cstheme="majorHAnsi"/>
          <w:sz w:val="24"/>
          <w:szCs w:val="24"/>
        </w:rPr>
        <w:lastRenderedPageBreak/>
        <w:t>notificazione al convenuto e quella dell</w:t>
      </w:r>
      <w:r w:rsidR="00184646">
        <w:rPr>
          <w:rFonts w:asciiTheme="majorHAnsi" w:hAnsiTheme="majorHAnsi" w:cstheme="majorHAnsi"/>
          <w:sz w:val="24"/>
          <w:szCs w:val="24"/>
        </w:rPr>
        <w:t>’</w:t>
      </w:r>
      <w:r w:rsidRPr="00B40661">
        <w:rPr>
          <w:rFonts w:asciiTheme="majorHAnsi" w:hAnsiTheme="majorHAnsi" w:cstheme="majorHAnsi"/>
          <w:sz w:val="24"/>
          <w:szCs w:val="24"/>
        </w:rPr>
        <w:t xml:space="preserve">udienza di discussione non più di </w:t>
      </w:r>
      <w:r w:rsidRPr="00B40661">
        <w:rPr>
          <w:rFonts w:asciiTheme="majorHAnsi" w:hAnsiTheme="majorHAnsi" w:cstheme="majorHAnsi"/>
          <w:b/>
          <w:sz w:val="24"/>
          <w:szCs w:val="24"/>
        </w:rPr>
        <w:t>30 giorni</w:t>
      </w:r>
      <w:r w:rsidRPr="00B40661">
        <w:rPr>
          <w:rFonts w:asciiTheme="majorHAnsi" w:hAnsiTheme="majorHAnsi" w:cstheme="majorHAnsi"/>
          <w:sz w:val="24"/>
          <w:szCs w:val="24"/>
        </w:rPr>
        <w:t xml:space="preserve"> (e non 25 giorni come nel c.d. rito Fornero);</w:t>
      </w:r>
    </w:p>
    <w:p w:rsidR="00D328EC" w:rsidRPr="00B40661" w:rsidRDefault="00D328EC" w:rsidP="00184646">
      <w:pPr>
        <w:pStyle w:val="Paragrafoelenco"/>
        <w:numPr>
          <w:ilvl w:val="0"/>
          <w:numId w:val="31"/>
        </w:numPr>
        <w:spacing w:after="120" w:line="240" w:lineRule="auto"/>
        <w:jc w:val="both"/>
        <w:rPr>
          <w:rFonts w:asciiTheme="majorHAnsi" w:hAnsiTheme="majorHAnsi" w:cstheme="majorHAnsi"/>
          <w:sz w:val="24"/>
          <w:szCs w:val="24"/>
        </w:rPr>
      </w:pPr>
      <w:r w:rsidRPr="00B40661">
        <w:rPr>
          <w:rFonts w:asciiTheme="majorHAnsi" w:hAnsiTheme="majorHAnsi" w:cstheme="majorHAnsi"/>
          <w:i/>
          <w:iCs/>
          <w:sz w:val="24"/>
          <w:szCs w:val="24"/>
        </w:rPr>
        <w:t>ex</w:t>
      </w:r>
      <w:r w:rsidRPr="00B40661">
        <w:rPr>
          <w:rFonts w:asciiTheme="majorHAnsi" w:hAnsiTheme="majorHAnsi" w:cstheme="majorHAnsi"/>
          <w:sz w:val="24"/>
          <w:szCs w:val="24"/>
        </w:rPr>
        <w:t xml:space="preserve"> art. 416 c.p.c.</w:t>
      </w:r>
      <w:r w:rsidRPr="00B40661">
        <w:rPr>
          <w:rStyle w:val="Rimandonotaapidipagina"/>
          <w:rFonts w:asciiTheme="majorHAnsi" w:hAnsiTheme="majorHAnsi" w:cstheme="majorHAnsi"/>
          <w:sz w:val="24"/>
          <w:szCs w:val="24"/>
        </w:rPr>
        <w:footnoteReference w:id="10"/>
      </w:r>
      <w:r w:rsidRPr="00B40661">
        <w:rPr>
          <w:rFonts w:asciiTheme="majorHAnsi" w:hAnsiTheme="majorHAnsi" w:cstheme="majorHAnsi"/>
          <w:sz w:val="24"/>
          <w:szCs w:val="24"/>
        </w:rPr>
        <w:t xml:space="preserve">, il convenuto dovrà costituirsi almeno </w:t>
      </w:r>
      <w:r w:rsidRPr="00B40661">
        <w:rPr>
          <w:rFonts w:asciiTheme="majorHAnsi" w:hAnsiTheme="majorHAnsi" w:cstheme="majorHAnsi"/>
          <w:b/>
          <w:sz w:val="24"/>
          <w:szCs w:val="24"/>
        </w:rPr>
        <w:t>10 giorni prima</w:t>
      </w:r>
      <w:r w:rsidRPr="00B40661">
        <w:rPr>
          <w:rFonts w:asciiTheme="majorHAnsi" w:hAnsiTheme="majorHAnsi" w:cstheme="majorHAnsi"/>
          <w:sz w:val="24"/>
          <w:szCs w:val="24"/>
        </w:rPr>
        <w:t xml:space="preserve"> della udienza, mediante deposito in cancelleria di una </w:t>
      </w:r>
      <w:r w:rsidRPr="00B40661">
        <w:rPr>
          <w:rFonts w:asciiTheme="majorHAnsi" w:hAnsiTheme="majorHAnsi" w:cstheme="majorHAnsi"/>
          <w:b/>
          <w:sz w:val="24"/>
          <w:szCs w:val="24"/>
        </w:rPr>
        <w:t>memoria difensiva</w:t>
      </w:r>
      <w:r w:rsidRPr="00B40661">
        <w:rPr>
          <w:rFonts w:asciiTheme="majorHAnsi" w:hAnsiTheme="majorHAnsi" w:cstheme="majorHAnsi"/>
          <w:sz w:val="24"/>
          <w:szCs w:val="24"/>
        </w:rPr>
        <w:t xml:space="preserve">, nella quale dovranno essere proposte, a pena di decadenza, le eventuali </w:t>
      </w:r>
      <w:r w:rsidRPr="00B40661">
        <w:rPr>
          <w:rFonts w:asciiTheme="majorHAnsi" w:hAnsiTheme="majorHAnsi" w:cstheme="majorHAnsi"/>
          <w:b/>
          <w:sz w:val="24"/>
          <w:szCs w:val="24"/>
        </w:rPr>
        <w:t>domande riconvenzionali</w:t>
      </w:r>
      <w:r w:rsidRPr="00B40661">
        <w:rPr>
          <w:rFonts w:asciiTheme="majorHAnsi" w:hAnsiTheme="majorHAnsi" w:cstheme="majorHAnsi"/>
          <w:sz w:val="24"/>
          <w:szCs w:val="24"/>
        </w:rPr>
        <w:t xml:space="preserve"> e le </w:t>
      </w:r>
      <w:r w:rsidRPr="00B40661">
        <w:rPr>
          <w:rFonts w:asciiTheme="majorHAnsi" w:hAnsiTheme="majorHAnsi" w:cstheme="majorHAnsi"/>
          <w:b/>
          <w:sz w:val="24"/>
          <w:szCs w:val="24"/>
        </w:rPr>
        <w:t>eccezioni processuali e di merito non rilevabili d</w:t>
      </w:r>
      <w:r w:rsidR="00184646">
        <w:rPr>
          <w:rFonts w:asciiTheme="majorHAnsi" w:hAnsiTheme="majorHAnsi" w:cstheme="majorHAnsi"/>
          <w:b/>
          <w:sz w:val="24"/>
          <w:szCs w:val="24"/>
        </w:rPr>
        <w:t>’</w:t>
      </w:r>
      <w:r w:rsidRPr="00B40661">
        <w:rPr>
          <w:rFonts w:asciiTheme="majorHAnsi" w:hAnsiTheme="majorHAnsi" w:cstheme="majorHAnsi"/>
          <w:b/>
          <w:sz w:val="24"/>
          <w:szCs w:val="24"/>
        </w:rPr>
        <w:t>ufficio</w:t>
      </w:r>
      <w:r w:rsidRPr="00B40661">
        <w:rPr>
          <w:rFonts w:asciiTheme="majorHAnsi" w:hAnsiTheme="majorHAnsi" w:cstheme="majorHAnsi"/>
          <w:sz w:val="24"/>
          <w:szCs w:val="24"/>
        </w:rPr>
        <w:t>. Nella stessa memoria, inoltre, il convenuto dovrà prendere specificamente posizione circa i fatti affermati dall</w:t>
      </w:r>
      <w:r w:rsidR="00184646">
        <w:rPr>
          <w:rFonts w:asciiTheme="majorHAnsi" w:hAnsiTheme="majorHAnsi" w:cstheme="majorHAnsi"/>
          <w:sz w:val="24"/>
          <w:szCs w:val="24"/>
        </w:rPr>
        <w:t>’</w:t>
      </w:r>
      <w:r w:rsidRPr="00B40661">
        <w:rPr>
          <w:rFonts w:asciiTheme="majorHAnsi" w:hAnsiTheme="majorHAnsi" w:cstheme="majorHAnsi"/>
          <w:sz w:val="24"/>
          <w:szCs w:val="24"/>
        </w:rPr>
        <w:t>attore a fondamento della domanda</w:t>
      </w:r>
      <w:r w:rsidR="004115CD">
        <w:rPr>
          <w:rStyle w:val="Rimandonotaapidipagina"/>
          <w:rFonts w:asciiTheme="majorHAnsi" w:hAnsiTheme="majorHAnsi" w:cstheme="majorHAnsi"/>
          <w:sz w:val="24"/>
          <w:szCs w:val="24"/>
        </w:rPr>
        <w:footnoteReference w:id="11"/>
      </w:r>
      <w:r w:rsidRPr="00B40661">
        <w:rPr>
          <w:rFonts w:asciiTheme="majorHAnsi" w:hAnsiTheme="majorHAnsi" w:cstheme="majorHAnsi"/>
          <w:sz w:val="24"/>
          <w:szCs w:val="24"/>
        </w:rPr>
        <w:t xml:space="preserve">, proporre tutte le sue difese in fatto e in diritto ed indicare, a pena di decadenza, i </w:t>
      </w:r>
      <w:r w:rsidRPr="00B40661">
        <w:rPr>
          <w:rFonts w:asciiTheme="majorHAnsi" w:hAnsiTheme="majorHAnsi" w:cstheme="majorHAnsi"/>
          <w:b/>
          <w:sz w:val="24"/>
          <w:szCs w:val="24"/>
        </w:rPr>
        <w:t>mezzi di prova</w:t>
      </w:r>
      <w:r w:rsidRPr="00B40661">
        <w:rPr>
          <w:rFonts w:asciiTheme="majorHAnsi" w:hAnsiTheme="majorHAnsi" w:cstheme="majorHAnsi"/>
          <w:sz w:val="24"/>
          <w:szCs w:val="24"/>
        </w:rPr>
        <w:t xml:space="preserve"> dei quali intende avvalersi ed in particolare i </w:t>
      </w:r>
      <w:r w:rsidRPr="00B40661">
        <w:rPr>
          <w:rFonts w:asciiTheme="majorHAnsi" w:hAnsiTheme="majorHAnsi" w:cstheme="majorHAnsi"/>
          <w:b/>
          <w:sz w:val="24"/>
          <w:szCs w:val="24"/>
        </w:rPr>
        <w:t>documenti</w:t>
      </w:r>
      <w:r w:rsidRPr="00B40661">
        <w:rPr>
          <w:rFonts w:asciiTheme="majorHAnsi" w:hAnsiTheme="majorHAnsi" w:cstheme="majorHAnsi"/>
          <w:sz w:val="24"/>
          <w:szCs w:val="24"/>
        </w:rPr>
        <w:t xml:space="preserve"> che dovrà contestualmente depositare.</w:t>
      </w:r>
    </w:p>
    <w:p w:rsidR="00D328EC" w:rsidRPr="00B40661" w:rsidRDefault="00D328EC" w:rsidP="00184646">
      <w:pPr>
        <w:spacing w:after="120" w:line="240" w:lineRule="auto"/>
        <w:ind w:firstLine="425"/>
        <w:jc w:val="both"/>
        <w:rPr>
          <w:rFonts w:asciiTheme="majorHAnsi" w:hAnsiTheme="majorHAnsi" w:cstheme="majorHAnsi"/>
          <w:sz w:val="24"/>
          <w:szCs w:val="24"/>
        </w:rPr>
      </w:pPr>
    </w:p>
    <w:p w:rsidR="00D328EC" w:rsidRPr="00184646" w:rsidRDefault="00D328EC" w:rsidP="00184646">
      <w:pPr>
        <w:spacing w:after="120" w:line="240" w:lineRule="auto"/>
        <w:ind w:firstLine="425"/>
        <w:jc w:val="both"/>
        <w:rPr>
          <w:rFonts w:asciiTheme="majorHAnsi" w:hAnsiTheme="majorHAnsi" w:cstheme="majorHAnsi"/>
          <w:b/>
          <w:sz w:val="24"/>
          <w:szCs w:val="24"/>
        </w:rPr>
      </w:pPr>
      <w:r w:rsidRPr="00B40661">
        <w:rPr>
          <w:rFonts w:asciiTheme="majorHAnsi" w:hAnsiTheme="majorHAnsi" w:cstheme="majorHAnsi"/>
          <w:sz w:val="24"/>
          <w:szCs w:val="24"/>
        </w:rPr>
        <w:t xml:space="preserve">All’applicazione della disciplina generale </w:t>
      </w:r>
      <w:r w:rsidRPr="00184646">
        <w:rPr>
          <w:rFonts w:asciiTheme="majorHAnsi" w:hAnsiTheme="majorHAnsi" w:cstheme="majorHAnsi"/>
          <w:i/>
          <w:iCs/>
          <w:sz w:val="24"/>
          <w:szCs w:val="24"/>
        </w:rPr>
        <w:t>ex</w:t>
      </w:r>
      <w:r w:rsidRPr="00B40661">
        <w:rPr>
          <w:rFonts w:asciiTheme="majorHAnsi" w:hAnsiTheme="majorHAnsi" w:cstheme="majorHAnsi"/>
          <w:sz w:val="24"/>
          <w:szCs w:val="24"/>
        </w:rPr>
        <w:t xml:space="preserve"> artt. 409 ss. c.p.c., tuttavia, si accompagna</w:t>
      </w:r>
      <w:r w:rsidR="00184646">
        <w:rPr>
          <w:rFonts w:asciiTheme="majorHAnsi" w:hAnsiTheme="majorHAnsi" w:cstheme="majorHAnsi"/>
          <w:sz w:val="24"/>
          <w:szCs w:val="24"/>
        </w:rPr>
        <w:t xml:space="preserve"> –</w:t>
      </w:r>
      <w:r w:rsidRPr="00B40661">
        <w:rPr>
          <w:rFonts w:asciiTheme="majorHAnsi" w:hAnsiTheme="majorHAnsi" w:cstheme="majorHAnsi"/>
          <w:sz w:val="24"/>
          <w:szCs w:val="24"/>
        </w:rPr>
        <w:t xml:space="preserve"> </w:t>
      </w:r>
      <w:r w:rsidRPr="00B40661">
        <w:rPr>
          <w:rFonts w:asciiTheme="majorHAnsi" w:hAnsiTheme="majorHAnsi" w:cstheme="majorHAnsi"/>
          <w:b/>
          <w:sz w:val="24"/>
          <w:szCs w:val="24"/>
        </w:rPr>
        <w:t xml:space="preserve">nei giudizi aventi ad oggetto l’impugnazione dei licenziamenti con domanda di reintegrazione </w:t>
      </w:r>
      <w:r w:rsidR="00184646" w:rsidRPr="00184646">
        <w:rPr>
          <w:rFonts w:asciiTheme="majorHAnsi" w:hAnsiTheme="majorHAnsi" w:cstheme="majorHAnsi"/>
          <w:bCs/>
          <w:sz w:val="24"/>
          <w:szCs w:val="24"/>
        </w:rPr>
        <w:t>–</w:t>
      </w:r>
      <w:r w:rsidRPr="00184646">
        <w:rPr>
          <w:rFonts w:asciiTheme="majorHAnsi" w:hAnsiTheme="majorHAnsi" w:cstheme="majorHAnsi"/>
          <w:bCs/>
          <w:sz w:val="24"/>
          <w:szCs w:val="24"/>
        </w:rPr>
        <w:t xml:space="preserve"> la</w:t>
      </w:r>
      <w:r w:rsidRPr="00B40661">
        <w:rPr>
          <w:rFonts w:asciiTheme="majorHAnsi" w:hAnsiTheme="majorHAnsi" w:cstheme="majorHAnsi"/>
          <w:sz w:val="24"/>
          <w:szCs w:val="24"/>
        </w:rPr>
        <w:t xml:space="preserve"> possibilità per il giudice, in ossequio al </w:t>
      </w:r>
      <w:r w:rsidRPr="00B40661">
        <w:rPr>
          <w:rFonts w:asciiTheme="majorHAnsi" w:hAnsiTheme="majorHAnsi" w:cstheme="majorHAnsi"/>
          <w:b/>
          <w:sz w:val="24"/>
          <w:szCs w:val="24"/>
        </w:rPr>
        <w:t>terzo comma</w:t>
      </w:r>
      <w:r w:rsidRPr="00184646">
        <w:rPr>
          <w:rStyle w:val="Rimandonotaapidipagina"/>
          <w:rFonts w:asciiTheme="majorHAnsi" w:hAnsiTheme="majorHAnsi" w:cstheme="majorHAnsi"/>
          <w:bCs/>
          <w:sz w:val="24"/>
          <w:szCs w:val="24"/>
        </w:rPr>
        <w:footnoteReference w:id="12"/>
      </w:r>
      <w:r w:rsidRPr="00184646">
        <w:rPr>
          <w:rFonts w:asciiTheme="majorHAnsi" w:hAnsiTheme="majorHAnsi" w:cstheme="majorHAnsi"/>
          <w:bCs/>
          <w:sz w:val="24"/>
          <w:szCs w:val="24"/>
        </w:rPr>
        <w:t xml:space="preserve"> </w:t>
      </w:r>
      <w:r w:rsidRPr="00B40661">
        <w:rPr>
          <w:rFonts w:asciiTheme="majorHAnsi" w:hAnsiTheme="majorHAnsi" w:cstheme="majorHAnsi"/>
          <w:sz w:val="24"/>
          <w:szCs w:val="24"/>
        </w:rPr>
        <w:t>dell’art. 441</w:t>
      </w:r>
      <w:r w:rsidR="00184646">
        <w:rPr>
          <w:rFonts w:asciiTheme="majorHAnsi" w:hAnsiTheme="majorHAnsi" w:cstheme="majorHAnsi"/>
          <w:sz w:val="24"/>
          <w:szCs w:val="24"/>
        </w:rPr>
        <w:t xml:space="preserve"> </w:t>
      </w:r>
      <w:r w:rsidRPr="00184646">
        <w:rPr>
          <w:rFonts w:asciiTheme="majorHAnsi" w:hAnsiTheme="majorHAnsi" w:cstheme="majorHAnsi"/>
          <w:i/>
          <w:iCs/>
          <w:sz w:val="24"/>
          <w:szCs w:val="24"/>
        </w:rPr>
        <w:t>bis</w:t>
      </w:r>
      <w:r w:rsidRPr="00B40661">
        <w:rPr>
          <w:rFonts w:asciiTheme="majorHAnsi" w:hAnsiTheme="majorHAnsi" w:cstheme="majorHAnsi"/>
          <w:sz w:val="24"/>
          <w:szCs w:val="24"/>
        </w:rPr>
        <w:t xml:space="preserve"> c.p.c., di </w:t>
      </w:r>
      <w:r w:rsidRPr="00B40661">
        <w:rPr>
          <w:rFonts w:asciiTheme="majorHAnsi" w:hAnsiTheme="majorHAnsi" w:cstheme="majorHAnsi"/>
          <w:b/>
          <w:sz w:val="24"/>
          <w:szCs w:val="24"/>
        </w:rPr>
        <w:t xml:space="preserve">ridurre i termini del procedimento </w:t>
      </w:r>
      <w:r w:rsidRPr="00B40661">
        <w:rPr>
          <w:rFonts w:asciiTheme="majorHAnsi" w:hAnsiTheme="majorHAnsi" w:cstheme="majorHAnsi"/>
          <w:b/>
          <w:sz w:val="24"/>
          <w:szCs w:val="24"/>
          <w:u w:val="single"/>
        </w:rPr>
        <w:t>fino alla metà</w:t>
      </w:r>
      <w:r w:rsidRPr="00B40661">
        <w:rPr>
          <w:rFonts w:asciiTheme="majorHAnsi" w:hAnsiTheme="majorHAnsi" w:cstheme="majorHAnsi"/>
          <w:sz w:val="24"/>
          <w:szCs w:val="24"/>
        </w:rPr>
        <w:t xml:space="preserve">, </w:t>
      </w:r>
      <w:r w:rsidRPr="00B40661">
        <w:rPr>
          <w:rFonts w:asciiTheme="majorHAnsi" w:hAnsiTheme="majorHAnsi" w:cstheme="majorHAnsi"/>
          <w:b/>
          <w:sz w:val="24"/>
          <w:szCs w:val="24"/>
        </w:rPr>
        <w:t>tenuto conto delle circostanze esposte nel ricorso</w:t>
      </w:r>
      <w:r w:rsidRPr="00B40661">
        <w:rPr>
          <w:rFonts w:asciiTheme="majorHAnsi" w:hAnsiTheme="majorHAnsi" w:cstheme="majorHAnsi"/>
          <w:sz w:val="24"/>
          <w:szCs w:val="24"/>
        </w:rPr>
        <w:t xml:space="preserve"> e fermo restando che:</w:t>
      </w:r>
    </w:p>
    <w:p w:rsidR="00D328EC" w:rsidRPr="00B40661" w:rsidRDefault="00D328EC" w:rsidP="00184646">
      <w:pPr>
        <w:pStyle w:val="Paragrafoelenco"/>
        <w:numPr>
          <w:ilvl w:val="0"/>
          <w:numId w:val="32"/>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 xml:space="preserve">tra la data di notificazione al convenuto o al terzo chiamato e quella della udienza di discussione dovrà intercorrere un </w:t>
      </w:r>
      <w:r w:rsidRPr="00B40661">
        <w:rPr>
          <w:rFonts w:asciiTheme="majorHAnsi" w:hAnsiTheme="majorHAnsi" w:cstheme="majorHAnsi"/>
          <w:b/>
          <w:sz w:val="24"/>
          <w:szCs w:val="24"/>
        </w:rPr>
        <w:t>termine non minore di</w:t>
      </w:r>
      <w:r w:rsidRPr="00B40661">
        <w:rPr>
          <w:rFonts w:asciiTheme="majorHAnsi" w:hAnsiTheme="majorHAnsi" w:cstheme="majorHAnsi"/>
          <w:sz w:val="24"/>
          <w:szCs w:val="24"/>
        </w:rPr>
        <w:t xml:space="preserve"> </w:t>
      </w:r>
      <w:r w:rsidRPr="00B40661">
        <w:rPr>
          <w:rFonts w:asciiTheme="majorHAnsi" w:hAnsiTheme="majorHAnsi" w:cstheme="majorHAnsi"/>
          <w:b/>
          <w:sz w:val="24"/>
          <w:szCs w:val="24"/>
        </w:rPr>
        <w:t>20 giorni</w:t>
      </w:r>
      <w:r w:rsidRPr="00B40661">
        <w:rPr>
          <w:rFonts w:asciiTheme="majorHAnsi" w:hAnsiTheme="majorHAnsi" w:cstheme="majorHAnsi"/>
          <w:sz w:val="24"/>
          <w:szCs w:val="24"/>
        </w:rPr>
        <w:t>;</w:t>
      </w:r>
    </w:p>
    <w:p w:rsidR="00D328EC" w:rsidRPr="00B40661" w:rsidRDefault="00D328EC" w:rsidP="00184646">
      <w:pPr>
        <w:pStyle w:val="Paragrafoelenco"/>
        <w:numPr>
          <w:ilvl w:val="0"/>
          <w:numId w:val="32"/>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 xml:space="preserve">in tal caso, il termine per la costituzione del convenuto o del terzo chiamato sarà </w:t>
      </w:r>
      <w:r w:rsidRPr="00B40661">
        <w:rPr>
          <w:rFonts w:asciiTheme="majorHAnsi" w:hAnsiTheme="majorHAnsi" w:cstheme="majorHAnsi"/>
          <w:b/>
          <w:sz w:val="24"/>
          <w:szCs w:val="24"/>
        </w:rPr>
        <w:t>ridotto della metà</w:t>
      </w:r>
      <w:r w:rsidRPr="00B40661">
        <w:rPr>
          <w:rFonts w:asciiTheme="majorHAnsi" w:hAnsiTheme="majorHAnsi" w:cstheme="majorHAnsi"/>
          <w:sz w:val="24"/>
          <w:szCs w:val="24"/>
        </w:rPr>
        <w:t>.</w:t>
      </w:r>
    </w:p>
    <w:p w:rsidR="00D328EC" w:rsidRPr="00B40661" w:rsidRDefault="00D328EC" w:rsidP="00184646">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lastRenderedPageBreak/>
        <w:t xml:space="preserve">Dall’esegesi dello specifico comma in esame deve ritenersi che la suddetta riduzione dei termini potrà essere effettuata dal giudice </w:t>
      </w:r>
      <w:r w:rsidRPr="00B40661">
        <w:rPr>
          <w:rFonts w:asciiTheme="majorHAnsi" w:hAnsiTheme="majorHAnsi" w:cstheme="majorHAnsi"/>
          <w:b/>
          <w:sz w:val="24"/>
          <w:szCs w:val="24"/>
        </w:rPr>
        <w:t>anche d’ufficio</w:t>
      </w:r>
      <w:r w:rsidRPr="00B40661">
        <w:rPr>
          <w:rFonts w:asciiTheme="majorHAnsi" w:hAnsiTheme="majorHAnsi" w:cstheme="majorHAnsi"/>
          <w:sz w:val="24"/>
          <w:szCs w:val="24"/>
        </w:rPr>
        <w:t xml:space="preserve">. In presenza di particolari ragioni di urgenza, tuttavia, sarà auspicabile la proposizione </w:t>
      </w:r>
      <w:r w:rsidR="00184646">
        <w:rPr>
          <w:rFonts w:asciiTheme="majorHAnsi" w:hAnsiTheme="majorHAnsi" w:cstheme="majorHAnsi"/>
          <w:sz w:val="24"/>
          <w:szCs w:val="24"/>
        </w:rPr>
        <w:t>–</w:t>
      </w:r>
      <w:r w:rsidRPr="00B40661">
        <w:rPr>
          <w:rFonts w:asciiTheme="majorHAnsi" w:hAnsiTheme="majorHAnsi" w:cstheme="majorHAnsi"/>
          <w:sz w:val="24"/>
          <w:szCs w:val="24"/>
        </w:rPr>
        <w:t xml:space="preserve"> ad opera delle parti </w:t>
      </w:r>
      <w:r w:rsidR="00184646">
        <w:rPr>
          <w:rFonts w:asciiTheme="majorHAnsi" w:hAnsiTheme="majorHAnsi" w:cstheme="majorHAnsi"/>
          <w:sz w:val="24"/>
          <w:szCs w:val="24"/>
        </w:rPr>
        <w:t>–</w:t>
      </w:r>
      <w:r w:rsidRPr="00B40661">
        <w:rPr>
          <w:rFonts w:asciiTheme="majorHAnsi" w:hAnsiTheme="majorHAnsi" w:cstheme="majorHAnsi"/>
          <w:sz w:val="24"/>
          <w:szCs w:val="24"/>
        </w:rPr>
        <w:t xml:space="preserve"> di una specifica istanza in tal senso, fermo restando che:</w:t>
      </w:r>
    </w:p>
    <w:p w:rsidR="00D328EC" w:rsidRPr="00B40661" w:rsidRDefault="00D328EC" w:rsidP="00184646">
      <w:pPr>
        <w:pStyle w:val="Paragrafoelenco"/>
        <w:numPr>
          <w:ilvl w:val="0"/>
          <w:numId w:val="33"/>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il giudice non è obbligato all’accoglimento della relativa richiesta;</w:t>
      </w:r>
    </w:p>
    <w:p w:rsidR="00D328EC" w:rsidRPr="00B40661" w:rsidRDefault="00D328EC" w:rsidP="00184646">
      <w:pPr>
        <w:pStyle w:val="Paragrafoelenco"/>
        <w:numPr>
          <w:ilvl w:val="0"/>
          <w:numId w:val="33"/>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 xml:space="preserve">particolari esigenze di urgenza potranno comunque essere soddisfatte mediante la proposizione di un ricorso </w:t>
      </w:r>
      <w:r w:rsidRPr="00B40661">
        <w:rPr>
          <w:rFonts w:asciiTheme="majorHAnsi" w:hAnsiTheme="majorHAnsi" w:cstheme="majorHAnsi"/>
          <w:i/>
          <w:iCs/>
          <w:sz w:val="24"/>
          <w:szCs w:val="24"/>
        </w:rPr>
        <w:t>ex</w:t>
      </w:r>
      <w:r w:rsidRPr="00B40661">
        <w:rPr>
          <w:rFonts w:asciiTheme="majorHAnsi" w:hAnsiTheme="majorHAnsi" w:cstheme="majorHAnsi"/>
          <w:sz w:val="24"/>
          <w:szCs w:val="24"/>
        </w:rPr>
        <w:t xml:space="preserve"> art. 700 c.p.c.</w:t>
      </w:r>
      <w:r w:rsidRPr="00B40661">
        <w:rPr>
          <w:rStyle w:val="Rimandonotaapidipagina"/>
          <w:rFonts w:asciiTheme="majorHAnsi" w:hAnsiTheme="majorHAnsi" w:cstheme="majorHAnsi"/>
          <w:sz w:val="24"/>
          <w:szCs w:val="24"/>
        </w:rPr>
        <w:footnoteReference w:id="13"/>
      </w:r>
      <w:r w:rsidRPr="00B40661">
        <w:rPr>
          <w:rFonts w:asciiTheme="majorHAnsi" w:hAnsiTheme="majorHAnsi" w:cstheme="majorHAnsi"/>
          <w:sz w:val="24"/>
          <w:szCs w:val="24"/>
        </w:rPr>
        <w:t xml:space="preserve"> (benché la c.d. riforma Cartabia abbia inteso  scongiurare la proliferazione di domande cautelari </w:t>
      </w:r>
      <w:r w:rsidRPr="00B40661">
        <w:rPr>
          <w:rFonts w:asciiTheme="majorHAnsi" w:hAnsiTheme="majorHAnsi" w:cstheme="majorHAnsi"/>
          <w:i/>
          <w:sz w:val="24"/>
          <w:szCs w:val="24"/>
        </w:rPr>
        <w:t xml:space="preserve">ante </w:t>
      </w:r>
      <w:proofErr w:type="spellStart"/>
      <w:r w:rsidRPr="00B40661">
        <w:rPr>
          <w:rFonts w:asciiTheme="majorHAnsi" w:hAnsiTheme="majorHAnsi" w:cstheme="majorHAnsi"/>
          <w:i/>
          <w:sz w:val="24"/>
          <w:szCs w:val="24"/>
        </w:rPr>
        <w:t>causam</w:t>
      </w:r>
      <w:proofErr w:type="spellEnd"/>
      <w:r w:rsidRPr="00B40661">
        <w:rPr>
          <w:rStyle w:val="Rimandonotaapidipagina"/>
          <w:rFonts w:asciiTheme="majorHAnsi" w:hAnsiTheme="majorHAnsi" w:cstheme="majorHAnsi"/>
          <w:sz w:val="24"/>
          <w:szCs w:val="24"/>
        </w:rPr>
        <w:footnoteReference w:id="14"/>
      </w:r>
      <w:r w:rsidRPr="00B40661">
        <w:rPr>
          <w:rFonts w:asciiTheme="majorHAnsi" w:hAnsiTheme="majorHAnsi" w:cstheme="majorHAnsi"/>
          <w:sz w:val="24"/>
          <w:szCs w:val="24"/>
        </w:rPr>
        <w:t>);</w:t>
      </w:r>
    </w:p>
    <w:p w:rsidR="00D328EC" w:rsidRPr="00B40661" w:rsidRDefault="00D328EC" w:rsidP="00184646">
      <w:pPr>
        <w:pStyle w:val="Paragrafoelenco"/>
        <w:numPr>
          <w:ilvl w:val="0"/>
          <w:numId w:val="33"/>
        </w:numPr>
        <w:spacing w:after="120" w:line="240" w:lineRule="auto"/>
        <w:jc w:val="both"/>
        <w:rPr>
          <w:rFonts w:asciiTheme="majorHAnsi" w:hAnsiTheme="majorHAnsi" w:cstheme="majorHAnsi"/>
          <w:sz w:val="24"/>
          <w:szCs w:val="24"/>
        </w:rPr>
      </w:pPr>
      <w:r w:rsidRPr="00B40661">
        <w:rPr>
          <w:rFonts w:asciiTheme="majorHAnsi" w:hAnsiTheme="majorHAnsi" w:cstheme="majorHAnsi"/>
          <w:sz w:val="24"/>
          <w:szCs w:val="24"/>
        </w:rPr>
        <w:t xml:space="preserve">l’abbreviazione dei termini potrà essere disposta solo nelle controversie in materia di licenziamento con </w:t>
      </w:r>
      <w:r w:rsidRPr="00B40661">
        <w:rPr>
          <w:rFonts w:asciiTheme="majorHAnsi" w:hAnsiTheme="majorHAnsi" w:cstheme="majorHAnsi"/>
          <w:b/>
          <w:sz w:val="24"/>
          <w:szCs w:val="24"/>
        </w:rPr>
        <w:t>tutela reale</w:t>
      </w:r>
      <w:r w:rsidRPr="00B40661">
        <w:rPr>
          <w:rFonts w:asciiTheme="majorHAnsi" w:hAnsiTheme="majorHAnsi" w:cstheme="majorHAnsi"/>
          <w:sz w:val="24"/>
          <w:szCs w:val="24"/>
        </w:rPr>
        <w:t xml:space="preserve"> (in assenza della domanda di reintegrazione nel posto di lavoro, infatti, l’abbreviazione non sarà possibile). </w:t>
      </w:r>
    </w:p>
    <w:p w:rsidR="00D328EC" w:rsidRPr="00B40661" w:rsidRDefault="00D328EC" w:rsidP="00184646">
      <w:pPr>
        <w:pStyle w:val="Paragrafoelenco"/>
        <w:spacing w:after="120" w:line="240" w:lineRule="auto"/>
        <w:ind w:left="770" w:firstLine="425"/>
        <w:jc w:val="both"/>
        <w:rPr>
          <w:rFonts w:asciiTheme="majorHAnsi" w:hAnsiTheme="majorHAnsi" w:cstheme="majorHAnsi"/>
          <w:sz w:val="24"/>
          <w:szCs w:val="24"/>
        </w:rPr>
      </w:pPr>
    </w:p>
    <w:p w:rsidR="00D328EC" w:rsidRPr="00B40661" w:rsidRDefault="00D328EC" w:rsidP="00184646">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 xml:space="preserve">A ciò si aggiunga che, sempre </w:t>
      </w:r>
      <w:r w:rsidRPr="00B40661">
        <w:rPr>
          <w:rFonts w:asciiTheme="majorHAnsi" w:hAnsiTheme="majorHAnsi" w:cstheme="majorHAnsi"/>
          <w:b/>
          <w:sz w:val="24"/>
          <w:szCs w:val="24"/>
        </w:rPr>
        <w:t xml:space="preserve">in relazione alle esigenze di celerità </w:t>
      </w:r>
      <w:r w:rsidRPr="00B40661">
        <w:rPr>
          <w:rFonts w:asciiTheme="majorHAnsi" w:hAnsiTheme="majorHAnsi" w:cstheme="majorHAnsi"/>
          <w:b/>
          <w:i/>
          <w:sz w:val="24"/>
          <w:szCs w:val="24"/>
        </w:rPr>
        <w:t>anche</w:t>
      </w:r>
      <w:r w:rsidRPr="00B40661">
        <w:rPr>
          <w:rFonts w:asciiTheme="majorHAnsi" w:hAnsiTheme="majorHAnsi" w:cstheme="majorHAnsi"/>
          <w:b/>
          <w:sz w:val="24"/>
          <w:szCs w:val="24"/>
        </w:rPr>
        <w:t xml:space="preserve"> prospettate dalle parti</w:t>
      </w:r>
      <w:r w:rsidRPr="00B40661">
        <w:rPr>
          <w:rFonts w:asciiTheme="majorHAnsi" w:hAnsiTheme="majorHAnsi" w:cstheme="majorHAnsi"/>
          <w:sz w:val="24"/>
          <w:szCs w:val="24"/>
        </w:rPr>
        <w:t xml:space="preserve">, ai sensi del </w:t>
      </w:r>
      <w:r w:rsidRPr="00B40661">
        <w:rPr>
          <w:rFonts w:asciiTheme="majorHAnsi" w:hAnsiTheme="majorHAnsi" w:cstheme="majorHAnsi"/>
          <w:b/>
          <w:sz w:val="24"/>
          <w:szCs w:val="24"/>
        </w:rPr>
        <w:t>quarto comma</w:t>
      </w:r>
      <w:r w:rsidRPr="00B40661">
        <w:rPr>
          <w:rStyle w:val="Rimandonotaapidipagina"/>
          <w:rFonts w:asciiTheme="majorHAnsi" w:hAnsiTheme="majorHAnsi" w:cstheme="majorHAnsi"/>
          <w:b/>
          <w:sz w:val="24"/>
          <w:szCs w:val="24"/>
        </w:rPr>
        <w:footnoteReference w:id="15"/>
      </w:r>
      <w:r w:rsidRPr="00B40661">
        <w:rPr>
          <w:rFonts w:asciiTheme="majorHAnsi" w:hAnsiTheme="majorHAnsi" w:cstheme="majorHAnsi"/>
          <w:sz w:val="24"/>
          <w:szCs w:val="24"/>
        </w:rPr>
        <w:t xml:space="preserve"> dell’art. 441</w:t>
      </w:r>
      <w:r w:rsidR="00D55AE7">
        <w:rPr>
          <w:rFonts w:asciiTheme="majorHAnsi" w:hAnsiTheme="majorHAnsi" w:cstheme="majorHAnsi"/>
          <w:sz w:val="24"/>
          <w:szCs w:val="24"/>
        </w:rPr>
        <w:t xml:space="preserve"> </w:t>
      </w:r>
      <w:r w:rsidRPr="00D55AE7">
        <w:rPr>
          <w:rFonts w:asciiTheme="majorHAnsi" w:hAnsiTheme="majorHAnsi" w:cstheme="majorHAnsi"/>
          <w:i/>
          <w:iCs/>
          <w:sz w:val="24"/>
          <w:szCs w:val="24"/>
        </w:rPr>
        <w:t>bis</w:t>
      </w:r>
      <w:r w:rsidRPr="00B40661">
        <w:rPr>
          <w:rFonts w:asciiTheme="majorHAnsi" w:hAnsiTheme="majorHAnsi" w:cstheme="majorHAnsi"/>
          <w:sz w:val="24"/>
          <w:szCs w:val="24"/>
        </w:rPr>
        <w:t xml:space="preserve"> c.p.c., </w:t>
      </w:r>
      <w:r w:rsidRPr="00B40661">
        <w:rPr>
          <w:rFonts w:asciiTheme="majorHAnsi" w:hAnsiTheme="majorHAnsi" w:cstheme="majorHAnsi"/>
          <w:b/>
          <w:sz w:val="24"/>
          <w:szCs w:val="24"/>
        </w:rPr>
        <w:t>all'udienza di discussione</w:t>
      </w:r>
      <w:r w:rsidRPr="00B40661">
        <w:rPr>
          <w:rFonts w:asciiTheme="majorHAnsi" w:hAnsiTheme="majorHAnsi" w:cstheme="majorHAnsi"/>
          <w:sz w:val="24"/>
          <w:szCs w:val="24"/>
        </w:rPr>
        <w:t xml:space="preserve"> il giudice potrà disporre la </w:t>
      </w:r>
      <w:r w:rsidRPr="00B40661">
        <w:rPr>
          <w:rFonts w:asciiTheme="majorHAnsi" w:hAnsiTheme="majorHAnsi" w:cstheme="majorHAnsi"/>
          <w:b/>
          <w:sz w:val="24"/>
          <w:szCs w:val="24"/>
        </w:rPr>
        <w:t>trattazione congiunta</w:t>
      </w:r>
      <w:r w:rsidRPr="00B40661">
        <w:rPr>
          <w:rFonts w:asciiTheme="majorHAnsi" w:hAnsiTheme="majorHAnsi" w:cstheme="majorHAnsi"/>
          <w:sz w:val="24"/>
          <w:szCs w:val="24"/>
        </w:rPr>
        <w:t xml:space="preserve"> di eventuali </w:t>
      </w:r>
      <w:r w:rsidRPr="00B40661">
        <w:rPr>
          <w:rFonts w:asciiTheme="majorHAnsi" w:hAnsiTheme="majorHAnsi" w:cstheme="majorHAnsi"/>
          <w:b/>
          <w:sz w:val="24"/>
          <w:szCs w:val="24"/>
        </w:rPr>
        <w:t>domande connesse e riconvenzionali</w:t>
      </w:r>
      <w:r w:rsidRPr="00B40661">
        <w:rPr>
          <w:rFonts w:asciiTheme="majorHAnsi" w:hAnsiTheme="majorHAnsi" w:cstheme="majorHAnsi"/>
          <w:sz w:val="24"/>
          <w:szCs w:val="24"/>
        </w:rPr>
        <w:t>.</w:t>
      </w:r>
    </w:p>
    <w:p w:rsidR="00D328EC" w:rsidRPr="00B40661" w:rsidRDefault="00D328EC" w:rsidP="00184646">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 xml:space="preserve">Mediante tale previsione il legislatore della riforma ha inteso arginare le numerose problematiche emerse in sede di applicazione del c.d. rito Fornero, il quale consentiva la trattazione congiunta delle sole domande di impugnativa di licenziamento e delle domande fondate </w:t>
      </w:r>
      <w:r w:rsidRPr="00B40661">
        <w:rPr>
          <w:rFonts w:asciiTheme="majorHAnsi" w:hAnsiTheme="majorHAnsi" w:cstheme="majorHAnsi"/>
          <w:b/>
          <w:sz w:val="24"/>
          <w:szCs w:val="24"/>
        </w:rPr>
        <w:t>sugli identici fatti costitutivi</w:t>
      </w:r>
      <w:r w:rsidRPr="00D55AE7">
        <w:rPr>
          <w:rStyle w:val="Rimandonotaapidipagina"/>
          <w:rFonts w:asciiTheme="majorHAnsi" w:hAnsiTheme="majorHAnsi" w:cstheme="majorHAnsi"/>
          <w:bCs/>
          <w:sz w:val="24"/>
          <w:szCs w:val="24"/>
        </w:rPr>
        <w:footnoteReference w:id="16"/>
      </w:r>
      <w:r w:rsidRPr="00D55AE7">
        <w:rPr>
          <w:rFonts w:asciiTheme="majorHAnsi" w:hAnsiTheme="majorHAnsi" w:cstheme="majorHAnsi"/>
          <w:bCs/>
          <w:sz w:val="24"/>
          <w:szCs w:val="24"/>
        </w:rPr>
        <w:t xml:space="preserve">. </w:t>
      </w:r>
    </w:p>
    <w:p w:rsidR="00D328EC" w:rsidRPr="00B40661" w:rsidRDefault="00D328EC" w:rsidP="00184646">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lastRenderedPageBreak/>
        <w:t xml:space="preserve">Ne conseguiva il frazionamento, in giudizi distinti, delle domande di impugnazione del licenziamento </w:t>
      </w:r>
      <w:r w:rsidRPr="00B40661">
        <w:rPr>
          <w:rFonts w:asciiTheme="majorHAnsi" w:hAnsiTheme="majorHAnsi" w:cstheme="majorHAnsi"/>
          <w:i/>
          <w:iCs/>
          <w:sz w:val="24"/>
          <w:szCs w:val="24"/>
        </w:rPr>
        <w:t>ex</w:t>
      </w:r>
      <w:r w:rsidRPr="00B40661">
        <w:rPr>
          <w:rFonts w:asciiTheme="majorHAnsi" w:hAnsiTheme="majorHAnsi" w:cstheme="majorHAnsi"/>
          <w:sz w:val="24"/>
          <w:szCs w:val="24"/>
        </w:rPr>
        <w:t xml:space="preserve"> art. 18 St. Lav. e di quelle che, pur inerenti al medesimo rapporto di lavoro e occasionate dalla sua cessazione, presentavano un fondamento anche solo parzialmente differente (con specifico riguardo alle domande relative a TFR e indennità di preavviso si segnala l’intervento della Suprema Corte di Cassazione con la sent. n. 17091/2016</w:t>
      </w:r>
      <w:r w:rsidRPr="00B40661">
        <w:rPr>
          <w:rStyle w:val="Rimandonotaapidipagina"/>
          <w:rFonts w:asciiTheme="majorHAnsi" w:hAnsiTheme="majorHAnsi" w:cstheme="majorHAnsi"/>
          <w:sz w:val="24"/>
          <w:szCs w:val="24"/>
        </w:rPr>
        <w:footnoteReference w:id="17"/>
      </w:r>
      <w:r w:rsidRPr="00B40661">
        <w:rPr>
          <w:rFonts w:asciiTheme="majorHAnsi" w:hAnsiTheme="majorHAnsi" w:cstheme="majorHAnsi"/>
          <w:sz w:val="24"/>
          <w:szCs w:val="24"/>
        </w:rPr>
        <w:t xml:space="preserve">). </w:t>
      </w:r>
    </w:p>
    <w:p w:rsidR="00D328EC" w:rsidRPr="00B40661" w:rsidRDefault="00D328EC" w:rsidP="00184646">
      <w:pPr>
        <w:spacing w:after="120" w:line="240" w:lineRule="auto"/>
        <w:ind w:firstLine="425"/>
        <w:jc w:val="both"/>
        <w:rPr>
          <w:rFonts w:asciiTheme="majorHAnsi" w:hAnsiTheme="majorHAnsi" w:cstheme="majorHAnsi"/>
          <w:sz w:val="24"/>
          <w:szCs w:val="24"/>
        </w:rPr>
      </w:pPr>
    </w:p>
    <w:p w:rsidR="00D328EC" w:rsidRPr="00B40661" w:rsidRDefault="00D328EC" w:rsidP="00184646">
      <w:pPr>
        <w:spacing w:after="120" w:line="240" w:lineRule="auto"/>
        <w:ind w:firstLine="425"/>
        <w:jc w:val="both"/>
        <w:rPr>
          <w:rFonts w:asciiTheme="majorHAnsi" w:hAnsiTheme="majorHAnsi" w:cstheme="majorHAnsi"/>
          <w:b/>
          <w:sz w:val="24"/>
          <w:szCs w:val="24"/>
        </w:rPr>
      </w:pPr>
      <w:r w:rsidRPr="00B40661">
        <w:rPr>
          <w:rFonts w:asciiTheme="majorHAnsi" w:hAnsiTheme="majorHAnsi" w:cstheme="majorHAnsi"/>
          <w:sz w:val="24"/>
          <w:szCs w:val="24"/>
        </w:rPr>
        <w:t xml:space="preserve">Ad ogni modo, anche a seguito della riforma, ove ciò si renda necessario per assicurare la speditezza del giudizio, il giudice potrà provvedere alla </w:t>
      </w:r>
      <w:r w:rsidRPr="00B40661">
        <w:rPr>
          <w:rFonts w:asciiTheme="majorHAnsi" w:hAnsiTheme="majorHAnsi" w:cstheme="majorHAnsi"/>
          <w:b/>
          <w:sz w:val="24"/>
          <w:szCs w:val="24"/>
        </w:rPr>
        <w:t>separazione</w:t>
      </w:r>
      <w:r w:rsidRPr="00B40661">
        <w:rPr>
          <w:rFonts w:asciiTheme="majorHAnsi" w:hAnsiTheme="majorHAnsi" w:cstheme="majorHAnsi"/>
          <w:sz w:val="24"/>
          <w:szCs w:val="24"/>
        </w:rPr>
        <w:t xml:space="preserve"> delle domande connesse e riconvenzionali, assicurando </w:t>
      </w:r>
      <w:r w:rsidRPr="00B40661">
        <w:rPr>
          <w:rFonts w:asciiTheme="majorHAnsi" w:hAnsiTheme="majorHAnsi" w:cstheme="majorHAnsi"/>
          <w:b/>
          <w:color w:val="FF0000"/>
          <w:sz w:val="24"/>
          <w:szCs w:val="24"/>
        </w:rPr>
        <w:t>in ogni caso</w:t>
      </w:r>
      <w:r w:rsidRPr="00B40661">
        <w:rPr>
          <w:rFonts w:asciiTheme="majorHAnsi" w:hAnsiTheme="majorHAnsi" w:cstheme="majorHAnsi"/>
          <w:color w:val="FF0000"/>
          <w:sz w:val="24"/>
          <w:szCs w:val="24"/>
        </w:rPr>
        <w:t xml:space="preserve"> </w:t>
      </w:r>
      <w:r w:rsidRPr="00B40661">
        <w:rPr>
          <w:rFonts w:asciiTheme="majorHAnsi" w:hAnsiTheme="majorHAnsi" w:cstheme="majorHAnsi"/>
          <w:sz w:val="24"/>
          <w:szCs w:val="24"/>
        </w:rPr>
        <w:t xml:space="preserve">la </w:t>
      </w:r>
      <w:r w:rsidRPr="00B40661">
        <w:rPr>
          <w:rFonts w:asciiTheme="majorHAnsi" w:hAnsiTheme="majorHAnsi" w:cstheme="majorHAnsi"/>
          <w:b/>
          <w:sz w:val="24"/>
          <w:szCs w:val="24"/>
        </w:rPr>
        <w:t xml:space="preserve">concentrazione della fase istruttoria e di quella decisoria in relazione alle domande di reintegrazione nel posto di lavoro. </w:t>
      </w:r>
      <w:r w:rsidRPr="00B40661">
        <w:rPr>
          <w:rFonts w:asciiTheme="majorHAnsi" w:hAnsiTheme="majorHAnsi" w:cstheme="majorHAnsi"/>
          <w:sz w:val="24"/>
          <w:szCs w:val="24"/>
        </w:rPr>
        <w:t xml:space="preserve">A tal fine il giudice dovrà </w:t>
      </w:r>
      <w:r w:rsidRPr="00B40661">
        <w:rPr>
          <w:rFonts w:asciiTheme="majorHAnsi" w:hAnsiTheme="majorHAnsi" w:cstheme="majorHAnsi"/>
          <w:b/>
          <w:sz w:val="24"/>
          <w:szCs w:val="24"/>
        </w:rPr>
        <w:t>riservare particolari giorni, anche ravvicinati, nel calendario delle udienze.</w:t>
      </w:r>
    </w:p>
    <w:p w:rsidR="00D328EC" w:rsidRPr="00B40661" w:rsidRDefault="00D328EC" w:rsidP="00184646">
      <w:pPr>
        <w:spacing w:after="120" w:line="240" w:lineRule="auto"/>
        <w:ind w:firstLine="425"/>
        <w:jc w:val="both"/>
        <w:rPr>
          <w:rFonts w:asciiTheme="majorHAnsi" w:hAnsiTheme="majorHAnsi" w:cstheme="majorHAnsi"/>
          <w:sz w:val="24"/>
          <w:szCs w:val="24"/>
        </w:rPr>
      </w:pPr>
    </w:p>
    <w:p w:rsidR="00D328EC" w:rsidRPr="00B40661" w:rsidRDefault="00D328EC" w:rsidP="00184646">
      <w:pPr>
        <w:spacing w:after="120" w:line="240" w:lineRule="auto"/>
        <w:ind w:firstLine="425"/>
        <w:jc w:val="both"/>
        <w:rPr>
          <w:rFonts w:asciiTheme="majorHAnsi" w:hAnsiTheme="majorHAnsi" w:cstheme="majorHAnsi"/>
          <w:kern w:val="2"/>
          <w:sz w:val="24"/>
          <w:szCs w:val="24"/>
          <w:lang w:eastAsia="en-US"/>
        </w:rPr>
      </w:pPr>
      <w:r w:rsidRPr="00B40661">
        <w:rPr>
          <w:rFonts w:asciiTheme="majorHAnsi" w:hAnsiTheme="majorHAnsi" w:cstheme="majorHAnsi"/>
          <w:sz w:val="24"/>
          <w:szCs w:val="24"/>
        </w:rPr>
        <w:t xml:space="preserve">Da ultimo, occorre sottolineare che il neo-introdotto art. 441 </w:t>
      </w:r>
      <w:r w:rsidRPr="00B40661">
        <w:rPr>
          <w:rFonts w:asciiTheme="majorHAnsi" w:hAnsiTheme="majorHAnsi" w:cstheme="majorHAnsi"/>
          <w:i/>
          <w:iCs/>
          <w:sz w:val="24"/>
          <w:szCs w:val="24"/>
        </w:rPr>
        <w:t>bis</w:t>
      </w:r>
      <w:r w:rsidRPr="00B40661">
        <w:rPr>
          <w:rFonts w:asciiTheme="majorHAnsi" w:hAnsiTheme="majorHAnsi" w:cstheme="majorHAnsi"/>
          <w:sz w:val="24"/>
          <w:szCs w:val="24"/>
        </w:rPr>
        <w:t xml:space="preserve"> c.p.c. non detta particolari disposizioni per i giudizi di impugnazione, limitandosi a precisare – nel suo </w:t>
      </w:r>
      <w:r w:rsidRPr="00B40661">
        <w:rPr>
          <w:rFonts w:asciiTheme="majorHAnsi" w:hAnsiTheme="majorHAnsi" w:cstheme="majorHAnsi"/>
          <w:b/>
          <w:sz w:val="24"/>
          <w:szCs w:val="24"/>
        </w:rPr>
        <w:t>quinto e ultimo comma</w:t>
      </w:r>
      <w:r w:rsidRPr="00B40661">
        <w:rPr>
          <w:rStyle w:val="Rimandonotaapidipagina"/>
          <w:rFonts w:asciiTheme="majorHAnsi" w:hAnsiTheme="majorHAnsi" w:cstheme="majorHAnsi"/>
          <w:b/>
          <w:sz w:val="24"/>
          <w:szCs w:val="24"/>
        </w:rPr>
        <w:footnoteReference w:id="18"/>
      </w:r>
      <w:r w:rsidRPr="00B40661">
        <w:rPr>
          <w:rFonts w:asciiTheme="majorHAnsi" w:hAnsiTheme="majorHAnsi" w:cstheme="majorHAnsi"/>
          <w:sz w:val="24"/>
          <w:szCs w:val="24"/>
        </w:rPr>
        <w:t xml:space="preserve"> – che i </w:t>
      </w:r>
      <w:r w:rsidRPr="00B40661">
        <w:rPr>
          <w:rFonts w:asciiTheme="majorHAnsi" w:hAnsiTheme="majorHAnsi" w:cstheme="majorHAnsi"/>
          <w:b/>
          <w:sz w:val="24"/>
          <w:szCs w:val="24"/>
        </w:rPr>
        <w:t>principi di celerità e concentrazione</w:t>
      </w:r>
      <w:r w:rsidRPr="00B40661">
        <w:rPr>
          <w:rFonts w:asciiTheme="majorHAnsi" w:hAnsiTheme="majorHAnsi" w:cstheme="majorHAnsi"/>
          <w:sz w:val="24"/>
          <w:szCs w:val="24"/>
        </w:rPr>
        <w:t xml:space="preserve"> dovranno caratterizzare anche la trattazione delle controversie in materia di licenziamento con tutela reale </w:t>
      </w:r>
      <w:r w:rsidRPr="00B40661">
        <w:rPr>
          <w:rFonts w:asciiTheme="majorHAnsi" w:hAnsiTheme="majorHAnsi" w:cstheme="majorHAnsi"/>
          <w:b/>
          <w:sz w:val="24"/>
          <w:szCs w:val="24"/>
        </w:rPr>
        <w:t>in grado d’appello e in cassazione</w:t>
      </w:r>
      <w:r w:rsidRPr="00B40661">
        <w:rPr>
          <w:rFonts w:asciiTheme="majorHAnsi" w:hAnsiTheme="majorHAnsi" w:cstheme="majorHAnsi"/>
          <w:sz w:val="24"/>
          <w:szCs w:val="24"/>
        </w:rPr>
        <w:t>.</w:t>
      </w:r>
    </w:p>
    <w:p w:rsidR="00D328EC" w:rsidRPr="00B40661" w:rsidRDefault="00D328EC" w:rsidP="00184646">
      <w:pPr>
        <w:spacing w:after="120" w:line="240" w:lineRule="auto"/>
        <w:ind w:firstLine="425"/>
        <w:jc w:val="both"/>
        <w:rPr>
          <w:rFonts w:asciiTheme="majorHAnsi" w:hAnsiTheme="majorHAnsi" w:cstheme="majorHAnsi"/>
          <w:sz w:val="24"/>
          <w:szCs w:val="24"/>
        </w:rPr>
      </w:pPr>
    </w:p>
    <w:p w:rsidR="00D328EC" w:rsidRPr="00B40661" w:rsidRDefault="00D328EC" w:rsidP="00184646">
      <w:pPr>
        <w:spacing w:after="120" w:line="240" w:lineRule="auto"/>
        <w:ind w:firstLine="425"/>
        <w:jc w:val="both"/>
        <w:rPr>
          <w:rFonts w:asciiTheme="majorHAnsi" w:hAnsiTheme="majorHAnsi" w:cstheme="majorHAnsi"/>
          <w:b/>
          <w:color w:val="FF0000"/>
          <w:sz w:val="24"/>
          <w:szCs w:val="24"/>
        </w:rPr>
      </w:pPr>
    </w:p>
    <w:p w:rsidR="00D328EC" w:rsidRDefault="00D328EC"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Default="00D55AE7" w:rsidP="00184646">
      <w:pPr>
        <w:spacing w:after="120" w:line="240" w:lineRule="auto"/>
        <w:ind w:firstLine="425"/>
        <w:jc w:val="both"/>
        <w:rPr>
          <w:rFonts w:asciiTheme="majorHAnsi" w:hAnsiTheme="majorHAnsi" w:cstheme="majorHAnsi"/>
          <w:b/>
          <w:color w:val="FF0000"/>
          <w:sz w:val="24"/>
          <w:szCs w:val="24"/>
        </w:rPr>
      </w:pPr>
    </w:p>
    <w:p w:rsidR="00D55AE7" w:rsidRPr="00B40661" w:rsidRDefault="00D55AE7" w:rsidP="00184646">
      <w:pPr>
        <w:spacing w:after="120" w:line="240" w:lineRule="auto"/>
        <w:ind w:firstLine="425"/>
        <w:jc w:val="both"/>
        <w:rPr>
          <w:rFonts w:asciiTheme="majorHAnsi" w:hAnsiTheme="majorHAnsi" w:cstheme="majorHAnsi"/>
          <w:b/>
          <w:color w:val="FF0000"/>
          <w:sz w:val="24"/>
          <w:szCs w:val="24"/>
        </w:rPr>
      </w:pPr>
    </w:p>
    <w:p w:rsidR="00D328EC" w:rsidRPr="00B40661" w:rsidRDefault="00D328EC" w:rsidP="00184646">
      <w:pPr>
        <w:spacing w:after="120" w:line="240" w:lineRule="auto"/>
        <w:ind w:firstLine="425"/>
        <w:jc w:val="both"/>
        <w:rPr>
          <w:rFonts w:asciiTheme="majorHAnsi" w:hAnsiTheme="majorHAnsi" w:cstheme="majorHAnsi"/>
          <w:b/>
          <w:color w:val="FF0000"/>
          <w:sz w:val="24"/>
          <w:szCs w:val="24"/>
        </w:rPr>
      </w:pPr>
    </w:p>
    <w:p w:rsidR="00D328EC" w:rsidRPr="00B40661" w:rsidRDefault="00D328EC" w:rsidP="00B40661">
      <w:pPr>
        <w:spacing w:after="120" w:line="240" w:lineRule="auto"/>
        <w:ind w:firstLine="425"/>
        <w:jc w:val="center"/>
        <w:rPr>
          <w:rFonts w:asciiTheme="majorHAnsi" w:hAnsiTheme="majorHAnsi" w:cstheme="majorHAnsi"/>
          <w:b/>
          <w:color w:val="FF0000"/>
          <w:sz w:val="24"/>
          <w:szCs w:val="24"/>
        </w:rPr>
      </w:pPr>
    </w:p>
    <w:p w:rsidR="00D328EC" w:rsidRPr="00B40661" w:rsidRDefault="00D328EC" w:rsidP="00B40661">
      <w:pPr>
        <w:spacing w:after="120" w:line="240" w:lineRule="auto"/>
        <w:ind w:firstLine="425"/>
        <w:jc w:val="center"/>
        <w:rPr>
          <w:rFonts w:asciiTheme="majorHAnsi" w:hAnsiTheme="majorHAnsi" w:cstheme="majorHAnsi"/>
          <w:b/>
          <w:color w:val="FF0000"/>
          <w:sz w:val="24"/>
          <w:szCs w:val="24"/>
        </w:rPr>
      </w:pPr>
    </w:p>
    <w:p w:rsidR="00D328EC" w:rsidRPr="00D55AE7" w:rsidRDefault="00D328EC" w:rsidP="00D55AE7">
      <w:pPr>
        <w:pStyle w:val="Titolo1"/>
        <w:jc w:val="center"/>
        <w:rPr>
          <w:rFonts w:asciiTheme="majorHAnsi" w:hAnsiTheme="majorHAnsi" w:cstheme="majorHAnsi"/>
          <w:bCs/>
          <w:color w:val="FF0000"/>
          <w:sz w:val="24"/>
          <w:szCs w:val="24"/>
        </w:rPr>
      </w:pPr>
      <w:bookmarkStart w:id="2" w:name="_Toc140494799"/>
      <w:r w:rsidRPr="00D55AE7">
        <w:rPr>
          <w:rFonts w:asciiTheme="majorHAnsi" w:hAnsiTheme="majorHAnsi" w:cstheme="majorHAnsi"/>
          <w:color w:val="FF0000"/>
          <w:sz w:val="24"/>
          <w:szCs w:val="24"/>
        </w:rPr>
        <w:t>LICENZIAMENTO DEL SOCIO DELLA COOPERATIVA</w:t>
      </w:r>
      <w:bookmarkEnd w:id="2"/>
    </w:p>
    <w:p w:rsidR="00D328EC" w:rsidRPr="00D55AE7" w:rsidRDefault="00D55AE7" w:rsidP="00B40661">
      <w:pPr>
        <w:spacing w:after="120" w:line="240" w:lineRule="auto"/>
        <w:jc w:val="center"/>
        <w:rPr>
          <w:rFonts w:asciiTheme="majorHAnsi" w:hAnsiTheme="majorHAnsi" w:cstheme="majorHAnsi"/>
          <w:b/>
          <w:color w:val="FF0000"/>
          <w:sz w:val="24"/>
          <w:szCs w:val="24"/>
        </w:rPr>
      </w:pPr>
      <w:r w:rsidRPr="00D55AE7">
        <w:rPr>
          <w:rFonts w:asciiTheme="majorHAnsi" w:hAnsiTheme="majorHAnsi" w:cstheme="majorHAnsi"/>
          <w:b/>
          <w:color w:val="FF0000"/>
          <w:sz w:val="24"/>
          <w:szCs w:val="24"/>
        </w:rPr>
        <w:t xml:space="preserve">(Art. 441 </w:t>
      </w:r>
      <w:r w:rsidRPr="00D55AE7">
        <w:rPr>
          <w:rFonts w:asciiTheme="majorHAnsi" w:hAnsiTheme="majorHAnsi" w:cstheme="majorHAnsi"/>
          <w:b/>
          <w:i/>
          <w:iCs/>
          <w:color w:val="FF0000"/>
          <w:sz w:val="24"/>
          <w:szCs w:val="24"/>
        </w:rPr>
        <w:t>ter</w:t>
      </w:r>
      <w:r w:rsidRPr="00D55AE7">
        <w:rPr>
          <w:rFonts w:asciiTheme="majorHAnsi" w:hAnsiTheme="majorHAnsi" w:cstheme="majorHAnsi"/>
          <w:b/>
          <w:color w:val="FF0000"/>
          <w:sz w:val="24"/>
          <w:szCs w:val="24"/>
        </w:rPr>
        <w:t xml:space="preserve"> c.p.c.)</w:t>
      </w:r>
    </w:p>
    <w:p w:rsidR="00D328EC" w:rsidRPr="00B40661" w:rsidRDefault="00D328EC" w:rsidP="00D55AE7">
      <w:pPr>
        <w:spacing w:after="120" w:line="240" w:lineRule="auto"/>
        <w:ind w:firstLine="425"/>
        <w:jc w:val="both"/>
        <w:rPr>
          <w:rFonts w:asciiTheme="majorHAnsi" w:hAnsiTheme="majorHAnsi" w:cstheme="majorHAnsi"/>
          <w:color w:val="C00000"/>
          <w:sz w:val="24"/>
          <w:szCs w:val="24"/>
        </w:rPr>
      </w:pPr>
    </w:p>
    <w:p w:rsidR="00D328EC" w:rsidRPr="00B40661" w:rsidRDefault="00D328EC" w:rsidP="00D55AE7">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 xml:space="preserve">L’art. 441 </w:t>
      </w:r>
      <w:proofErr w:type="spellStart"/>
      <w:r w:rsidRPr="00B40661">
        <w:rPr>
          <w:rFonts w:asciiTheme="majorHAnsi" w:hAnsiTheme="majorHAnsi" w:cstheme="majorHAnsi"/>
          <w:i/>
          <w:iCs/>
          <w:sz w:val="24"/>
          <w:szCs w:val="24"/>
        </w:rPr>
        <w:t>ter</w:t>
      </w:r>
      <w:proofErr w:type="spellEnd"/>
      <w:r w:rsidRPr="00B40661">
        <w:rPr>
          <w:rFonts w:asciiTheme="majorHAnsi" w:hAnsiTheme="majorHAnsi" w:cstheme="majorHAnsi"/>
          <w:sz w:val="24"/>
          <w:szCs w:val="24"/>
        </w:rPr>
        <w:t xml:space="preserve"> </w:t>
      </w:r>
      <w:proofErr w:type="spellStart"/>
      <w:r w:rsidRPr="00B40661">
        <w:rPr>
          <w:rFonts w:asciiTheme="majorHAnsi" w:hAnsiTheme="majorHAnsi" w:cstheme="majorHAnsi"/>
          <w:sz w:val="24"/>
          <w:szCs w:val="24"/>
        </w:rPr>
        <w:t>c.p.c</w:t>
      </w:r>
      <w:proofErr w:type="spellEnd"/>
      <w:r w:rsidRPr="00B40661">
        <w:rPr>
          <w:rFonts w:asciiTheme="majorHAnsi" w:hAnsiTheme="majorHAnsi" w:cstheme="majorHAnsi"/>
          <w:sz w:val="24"/>
          <w:szCs w:val="24"/>
          <w:vertAlign w:val="superscript"/>
        </w:rPr>
        <w:footnoteReference w:id="19"/>
      </w:r>
      <w:r w:rsidRPr="00B40661">
        <w:rPr>
          <w:rFonts w:asciiTheme="majorHAnsi" w:hAnsiTheme="majorHAnsi" w:cstheme="majorHAnsi"/>
          <w:sz w:val="24"/>
          <w:szCs w:val="24"/>
        </w:rPr>
        <w:t xml:space="preserve"> assoggetta le controversie aventi ad oggetto l’impugnazione dei licenziamenti dei soci delle cooperative alla disciplina di cui agli artt. 409 (</w:t>
      </w:r>
      <w:r w:rsidRPr="00B40661">
        <w:rPr>
          <w:rFonts w:asciiTheme="majorHAnsi" w:hAnsiTheme="majorHAnsi" w:cstheme="majorHAnsi"/>
          <w:i/>
          <w:iCs/>
          <w:sz w:val="24"/>
          <w:szCs w:val="24"/>
        </w:rPr>
        <w:t>Controversie individuali di lavoro</w:t>
      </w:r>
      <w:r w:rsidRPr="00B40661">
        <w:rPr>
          <w:rFonts w:asciiTheme="majorHAnsi" w:hAnsiTheme="majorHAnsi" w:cstheme="majorHAnsi"/>
          <w:sz w:val="24"/>
          <w:szCs w:val="24"/>
        </w:rPr>
        <w:t>) e ss. c.p.c.</w:t>
      </w:r>
    </w:p>
    <w:p w:rsidR="00D328EC" w:rsidRPr="00B40661" w:rsidRDefault="00D328EC" w:rsidP="00D55AE7">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Nel caso di impugnazione di licenziamenti</w:t>
      </w:r>
      <w:r w:rsidR="006D3A25">
        <w:rPr>
          <w:rFonts w:asciiTheme="majorHAnsi" w:hAnsiTheme="majorHAnsi" w:cstheme="majorHAnsi"/>
          <w:sz w:val="24"/>
          <w:szCs w:val="24"/>
        </w:rPr>
        <w:t xml:space="preserve"> dei soci di cooperative, </w:t>
      </w:r>
      <w:r w:rsidRPr="00B40661">
        <w:rPr>
          <w:rFonts w:asciiTheme="majorHAnsi" w:hAnsiTheme="majorHAnsi" w:cstheme="majorHAnsi"/>
          <w:sz w:val="24"/>
          <w:szCs w:val="24"/>
        </w:rPr>
        <w:t>il giudice decide anche sulle questioni relative al rapporto associativo eventualmente proposte. Inoltre, il giudice del lavoro decide sul rapporto di lavoro e sul rapporto associativo anche nei casi in cui la cessazione del rapporto di lavoro associativo deriva dalla cessazione del rapporto.</w:t>
      </w:r>
    </w:p>
    <w:p w:rsidR="00D328EC" w:rsidRDefault="00D328EC"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Default="00D55AE7" w:rsidP="00B40661">
      <w:pPr>
        <w:spacing w:after="120" w:line="240" w:lineRule="auto"/>
        <w:ind w:firstLine="425"/>
        <w:jc w:val="center"/>
        <w:rPr>
          <w:rFonts w:asciiTheme="majorHAnsi" w:hAnsiTheme="majorHAnsi" w:cstheme="majorHAnsi"/>
          <w:color w:val="FF0000"/>
          <w:sz w:val="24"/>
          <w:szCs w:val="24"/>
        </w:rPr>
      </w:pPr>
    </w:p>
    <w:p w:rsidR="00D55AE7" w:rsidRPr="00B40661" w:rsidRDefault="00D55AE7" w:rsidP="00B40661">
      <w:pPr>
        <w:spacing w:after="120" w:line="240" w:lineRule="auto"/>
        <w:ind w:firstLine="425"/>
        <w:jc w:val="center"/>
        <w:rPr>
          <w:rFonts w:asciiTheme="majorHAnsi" w:hAnsiTheme="majorHAnsi" w:cstheme="majorHAnsi"/>
          <w:color w:val="FF0000"/>
          <w:sz w:val="24"/>
          <w:szCs w:val="24"/>
        </w:rPr>
      </w:pPr>
    </w:p>
    <w:p w:rsidR="00D328EC" w:rsidRPr="00D55AE7" w:rsidRDefault="00D328EC" w:rsidP="00D55AE7">
      <w:pPr>
        <w:pStyle w:val="Titolo1"/>
        <w:jc w:val="center"/>
        <w:rPr>
          <w:rFonts w:asciiTheme="majorHAnsi" w:hAnsiTheme="majorHAnsi" w:cstheme="majorHAnsi"/>
          <w:color w:val="FF0000"/>
          <w:sz w:val="24"/>
          <w:szCs w:val="24"/>
        </w:rPr>
      </w:pPr>
      <w:bookmarkStart w:id="3" w:name="_Toc140494800"/>
      <w:r w:rsidRPr="00D55AE7">
        <w:rPr>
          <w:rFonts w:asciiTheme="majorHAnsi" w:hAnsiTheme="majorHAnsi" w:cstheme="majorHAnsi"/>
          <w:color w:val="FF0000"/>
          <w:sz w:val="24"/>
          <w:szCs w:val="24"/>
        </w:rPr>
        <w:t>LICENZIAMENT</w:t>
      </w:r>
      <w:r w:rsidR="00D55AE7">
        <w:rPr>
          <w:rFonts w:asciiTheme="majorHAnsi" w:hAnsiTheme="majorHAnsi" w:cstheme="majorHAnsi"/>
          <w:color w:val="FF0000"/>
          <w:sz w:val="24"/>
          <w:szCs w:val="24"/>
        </w:rPr>
        <w:t xml:space="preserve">O </w:t>
      </w:r>
      <w:r w:rsidRPr="00D55AE7">
        <w:rPr>
          <w:rFonts w:asciiTheme="majorHAnsi" w:hAnsiTheme="majorHAnsi" w:cstheme="majorHAnsi"/>
          <w:color w:val="FF0000"/>
          <w:sz w:val="24"/>
          <w:szCs w:val="24"/>
        </w:rPr>
        <w:t>DISCRIMINATORIO</w:t>
      </w:r>
      <w:bookmarkEnd w:id="3"/>
    </w:p>
    <w:p w:rsidR="00D328EC" w:rsidRPr="00D55AE7" w:rsidRDefault="00D55AE7" w:rsidP="00B40661">
      <w:pPr>
        <w:spacing w:after="120" w:line="240" w:lineRule="auto"/>
        <w:jc w:val="center"/>
        <w:rPr>
          <w:rFonts w:asciiTheme="majorHAnsi" w:hAnsiTheme="majorHAnsi" w:cstheme="majorHAnsi"/>
          <w:b/>
          <w:color w:val="FF0000"/>
          <w:sz w:val="24"/>
          <w:szCs w:val="24"/>
        </w:rPr>
      </w:pPr>
      <w:r w:rsidRPr="00D55AE7">
        <w:rPr>
          <w:rFonts w:asciiTheme="majorHAnsi" w:hAnsiTheme="majorHAnsi" w:cstheme="majorHAnsi"/>
          <w:b/>
          <w:color w:val="FF0000"/>
          <w:sz w:val="24"/>
          <w:szCs w:val="24"/>
        </w:rPr>
        <w:t xml:space="preserve">(Art. 441 </w:t>
      </w:r>
      <w:r w:rsidRPr="00D55AE7">
        <w:rPr>
          <w:rFonts w:asciiTheme="majorHAnsi" w:hAnsiTheme="majorHAnsi" w:cstheme="majorHAnsi"/>
          <w:b/>
          <w:i/>
          <w:iCs/>
          <w:color w:val="FF0000"/>
          <w:sz w:val="24"/>
          <w:szCs w:val="24"/>
        </w:rPr>
        <w:t>quater</w:t>
      </w:r>
      <w:r w:rsidRPr="00D55AE7">
        <w:rPr>
          <w:rFonts w:asciiTheme="majorHAnsi" w:hAnsiTheme="majorHAnsi" w:cstheme="majorHAnsi"/>
          <w:b/>
          <w:color w:val="FF0000"/>
          <w:sz w:val="24"/>
          <w:szCs w:val="24"/>
        </w:rPr>
        <w:t xml:space="preserve"> c.p.c.)</w:t>
      </w:r>
    </w:p>
    <w:p w:rsidR="00D328EC" w:rsidRPr="00B40661" w:rsidRDefault="00D328EC" w:rsidP="00D55AE7">
      <w:pPr>
        <w:spacing w:after="120" w:line="240" w:lineRule="auto"/>
        <w:ind w:firstLine="425"/>
        <w:jc w:val="both"/>
        <w:rPr>
          <w:rFonts w:asciiTheme="majorHAnsi" w:hAnsiTheme="majorHAnsi" w:cstheme="majorHAnsi"/>
          <w:sz w:val="24"/>
          <w:szCs w:val="24"/>
        </w:rPr>
      </w:pPr>
    </w:p>
    <w:p w:rsidR="00D328EC" w:rsidRPr="00B40661" w:rsidRDefault="00D328EC" w:rsidP="00D55AE7">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 xml:space="preserve">L’art 441 </w:t>
      </w:r>
      <w:r w:rsidRPr="00B40661">
        <w:rPr>
          <w:rFonts w:asciiTheme="majorHAnsi" w:hAnsiTheme="majorHAnsi" w:cstheme="majorHAnsi"/>
          <w:i/>
          <w:iCs/>
          <w:sz w:val="24"/>
          <w:szCs w:val="24"/>
        </w:rPr>
        <w:t>quater</w:t>
      </w:r>
      <w:r w:rsidRPr="00B40661">
        <w:rPr>
          <w:rFonts w:asciiTheme="majorHAnsi" w:hAnsiTheme="majorHAnsi" w:cstheme="majorHAnsi"/>
          <w:sz w:val="24"/>
          <w:szCs w:val="24"/>
        </w:rPr>
        <w:t xml:space="preserve"> c.p.c</w:t>
      </w:r>
      <w:r w:rsidR="00D55AE7">
        <w:rPr>
          <w:rFonts w:asciiTheme="majorHAnsi" w:hAnsiTheme="majorHAnsi" w:cstheme="majorHAnsi"/>
          <w:sz w:val="24"/>
          <w:szCs w:val="24"/>
        </w:rPr>
        <w:t>.</w:t>
      </w:r>
      <w:r w:rsidRPr="00B40661">
        <w:rPr>
          <w:rFonts w:asciiTheme="majorHAnsi" w:hAnsiTheme="majorHAnsi" w:cstheme="majorHAnsi"/>
          <w:sz w:val="24"/>
          <w:szCs w:val="24"/>
          <w:vertAlign w:val="superscript"/>
        </w:rPr>
        <w:footnoteReference w:id="20"/>
      </w:r>
      <w:r w:rsidRPr="00B40661">
        <w:rPr>
          <w:rFonts w:asciiTheme="majorHAnsi" w:hAnsiTheme="majorHAnsi" w:cstheme="majorHAnsi"/>
          <w:sz w:val="24"/>
          <w:szCs w:val="24"/>
        </w:rPr>
        <w:t xml:space="preserve"> stabilisce che le azioni di nullità dei licenziamenti discriminatori, laddove non siano proposte con ricorso ai sensi dell’art. 414 c.p.c.</w:t>
      </w:r>
      <w:r w:rsidRPr="00B40661">
        <w:rPr>
          <w:rFonts w:asciiTheme="majorHAnsi" w:hAnsiTheme="majorHAnsi" w:cstheme="majorHAnsi"/>
          <w:sz w:val="24"/>
          <w:szCs w:val="24"/>
          <w:vertAlign w:val="superscript"/>
        </w:rPr>
        <w:footnoteReference w:id="21"/>
      </w:r>
      <w:r w:rsidRPr="00B40661">
        <w:rPr>
          <w:rFonts w:asciiTheme="majorHAnsi" w:hAnsiTheme="majorHAnsi" w:cstheme="majorHAnsi"/>
          <w:sz w:val="24"/>
          <w:szCs w:val="24"/>
        </w:rPr>
        <w:t xml:space="preserve">, possono essere introdotte con i riti speciali, qualora ne ricorrano i presupposti. </w:t>
      </w:r>
    </w:p>
    <w:p w:rsidR="00D328EC" w:rsidRPr="00B40661" w:rsidRDefault="00D328EC" w:rsidP="00D55AE7">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In ogni caso, la proposizione della domanda relativa alla nullità del licenziamento discriminatorio e alle sue conseguenze, nell’una o nell’altra forma, preclude la possibilità di agire successivamente in giudizio con rito diverso per quella stessa domanda.</w:t>
      </w:r>
    </w:p>
    <w:p w:rsidR="00D328EC" w:rsidRDefault="00D328EC"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Default="00D55AE7" w:rsidP="00D55AE7">
      <w:pPr>
        <w:spacing w:after="120" w:line="240" w:lineRule="auto"/>
        <w:ind w:firstLine="425"/>
        <w:jc w:val="both"/>
        <w:rPr>
          <w:rFonts w:asciiTheme="majorHAnsi" w:hAnsiTheme="majorHAnsi" w:cstheme="majorHAnsi"/>
          <w:sz w:val="24"/>
          <w:szCs w:val="24"/>
        </w:rPr>
      </w:pPr>
    </w:p>
    <w:p w:rsidR="00D55AE7" w:rsidRPr="00B40661" w:rsidRDefault="00D55AE7" w:rsidP="00D55AE7">
      <w:pPr>
        <w:spacing w:after="120" w:line="240" w:lineRule="auto"/>
        <w:ind w:firstLine="425"/>
        <w:jc w:val="both"/>
        <w:rPr>
          <w:rFonts w:asciiTheme="majorHAnsi" w:hAnsiTheme="majorHAnsi" w:cstheme="majorHAnsi"/>
          <w:sz w:val="24"/>
          <w:szCs w:val="24"/>
        </w:rPr>
      </w:pPr>
    </w:p>
    <w:p w:rsidR="00D328EC" w:rsidRPr="00B40661" w:rsidRDefault="00D328EC" w:rsidP="00B40661">
      <w:pPr>
        <w:spacing w:after="120" w:line="240" w:lineRule="auto"/>
        <w:ind w:firstLine="425"/>
        <w:jc w:val="center"/>
        <w:rPr>
          <w:rFonts w:asciiTheme="majorHAnsi" w:hAnsiTheme="majorHAnsi" w:cstheme="majorHAnsi"/>
          <w:b/>
          <w:color w:val="C00000"/>
          <w:sz w:val="24"/>
          <w:szCs w:val="24"/>
        </w:rPr>
      </w:pPr>
    </w:p>
    <w:p w:rsidR="00D328EC" w:rsidRPr="00D55AE7" w:rsidRDefault="00D328EC" w:rsidP="00D55AE7">
      <w:pPr>
        <w:pStyle w:val="Titolo1"/>
        <w:jc w:val="center"/>
        <w:rPr>
          <w:rFonts w:asciiTheme="majorHAnsi" w:hAnsiTheme="majorHAnsi" w:cstheme="majorHAnsi"/>
          <w:b w:val="0"/>
          <w:color w:val="FF0000"/>
          <w:sz w:val="24"/>
          <w:szCs w:val="24"/>
        </w:rPr>
      </w:pPr>
      <w:bookmarkStart w:id="4" w:name="_Toc140494801"/>
      <w:r w:rsidRPr="00D55AE7">
        <w:rPr>
          <w:rFonts w:asciiTheme="majorHAnsi" w:hAnsiTheme="majorHAnsi" w:cstheme="majorHAnsi"/>
          <w:color w:val="FF0000"/>
          <w:sz w:val="24"/>
          <w:szCs w:val="24"/>
        </w:rPr>
        <w:t>L’APPELLO NEL PROCESSO DEL LAVORO</w:t>
      </w:r>
      <w:bookmarkEnd w:id="4"/>
    </w:p>
    <w:p w:rsidR="00D328EC" w:rsidRPr="00B40661" w:rsidRDefault="00D328EC" w:rsidP="00B40661">
      <w:pPr>
        <w:spacing w:after="120" w:line="240" w:lineRule="auto"/>
        <w:ind w:firstLine="425"/>
        <w:jc w:val="center"/>
        <w:rPr>
          <w:rFonts w:asciiTheme="majorHAnsi" w:hAnsiTheme="majorHAnsi" w:cstheme="majorHAnsi"/>
          <w:b/>
          <w:color w:val="C00000"/>
          <w:sz w:val="24"/>
          <w:szCs w:val="24"/>
        </w:rPr>
      </w:pPr>
    </w:p>
    <w:p w:rsidR="00D328EC" w:rsidRPr="00B40661" w:rsidRDefault="00D328EC" w:rsidP="00B40661">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 xml:space="preserve">La riforma del processo civile introdotta dal </w:t>
      </w:r>
      <w:proofErr w:type="spellStart"/>
      <w:r w:rsidRPr="00B40661">
        <w:rPr>
          <w:rFonts w:asciiTheme="majorHAnsi" w:hAnsiTheme="majorHAnsi" w:cstheme="majorHAnsi"/>
          <w:sz w:val="24"/>
          <w:szCs w:val="24"/>
        </w:rPr>
        <w:t>d.lgs</w:t>
      </w:r>
      <w:proofErr w:type="spellEnd"/>
      <w:r w:rsidRPr="00B40661">
        <w:rPr>
          <w:rFonts w:asciiTheme="majorHAnsi" w:hAnsiTheme="majorHAnsi" w:cstheme="majorHAnsi"/>
          <w:sz w:val="24"/>
          <w:szCs w:val="24"/>
        </w:rPr>
        <w:t xml:space="preserve">, n. 149/2022 ha modificato gli artt. 434, 436 </w:t>
      </w:r>
      <w:r w:rsidRPr="00B40661">
        <w:rPr>
          <w:rFonts w:asciiTheme="majorHAnsi" w:hAnsiTheme="majorHAnsi" w:cstheme="majorHAnsi"/>
          <w:i/>
          <w:sz w:val="24"/>
          <w:szCs w:val="24"/>
        </w:rPr>
        <w:t>bis</w:t>
      </w:r>
      <w:r w:rsidRPr="00B40661">
        <w:rPr>
          <w:rFonts w:asciiTheme="majorHAnsi" w:hAnsiTheme="majorHAnsi" w:cstheme="majorHAnsi"/>
          <w:sz w:val="24"/>
          <w:szCs w:val="24"/>
        </w:rPr>
        <w:t xml:space="preserve">, 437 e 438 </w:t>
      </w:r>
      <w:r w:rsidR="00B819FC">
        <w:rPr>
          <w:rFonts w:asciiTheme="majorHAnsi" w:hAnsiTheme="majorHAnsi" w:cstheme="majorHAnsi"/>
          <w:sz w:val="24"/>
          <w:szCs w:val="24"/>
        </w:rPr>
        <w:t xml:space="preserve">c.p.c. </w:t>
      </w:r>
      <w:r w:rsidRPr="00B40661">
        <w:rPr>
          <w:rFonts w:asciiTheme="majorHAnsi" w:hAnsiTheme="majorHAnsi" w:cstheme="majorHAnsi"/>
          <w:sz w:val="24"/>
          <w:szCs w:val="24"/>
        </w:rPr>
        <w:t>relativi all’appello nel processo del lavoro.</w:t>
      </w:r>
    </w:p>
    <w:p w:rsidR="00D328EC" w:rsidRPr="00B40661" w:rsidRDefault="00D328EC" w:rsidP="00B40661">
      <w:pPr>
        <w:spacing w:after="120" w:line="240" w:lineRule="auto"/>
        <w:ind w:firstLine="425"/>
        <w:jc w:val="both"/>
        <w:rPr>
          <w:rFonts w:asciiTheme="majorHAnsi" w:hAnsiTheme="majorHAnsi" w:cstheme="majorHAnsi"/>
          <w:sz w:val="24"/>
          <w:szCs w:val="24"/>
        </w:rPr>
      </w:pPr>
    </w:p>
    <w:p w:rsidR="00D328EC" w:rsidRPr="00B40661" w:rsidRDefault="00D328EC" w:rsidP="00B40661">
      <w:pPr>
        <w:spacing w:after="120" w:line="240" w:lineRule="auto"/>
        <w:ind w:firstLine="425"/>
        <w:jc w:val="both"/>
        <w:rPr>
          <w:rFonts w:asciiTheme="majorHAnsi" w:hAnsiTheme="majorHAnsi" w:cstheme="majorHAnsi"/>
          <w:b/>
          <w:sz w:val="24"/>
          <w:szCs w:val="24"/>
        </w:rPr>
      </w:pPr>
      <w:r w:rsidRPr="00B40661">
        <w:rPr>
          <w:rFonts w:asciiTheme="majorHAnsi" w:hAnsiTheme="majorHAnsi" w:cstheme="majorHAnsi"/>
          <w:b/>
          <w:sz w:val="24"/>
          <w:szCs w:val="24"/>
        </w:rPr>
        <w:t>IL RICORSO</w:t>
      </w:r>
    </w:p>
    <w:p w:rsidR="00D328EC" w:rsidRPr="00B40661" w:rsidRDefault="00D328EC" w:rsidP="00B40661">
      <w:pPr>
        <w:spacing w:after="120" w:line="240" w:lineRule="auto"/>
        <w:ind w:firstLine="425"/>
        <w:jc w:val="both"/>
        <w:rPr>
          <w:rFonts w:asciiTheme="majorHAnsi" w:hAnsiTheme="majorHAnsi" w:cstheme="majorHAnsi"/>
          <w:b/>
          <w:sz w:val="24"/>
          <w:szCs w:val="24"/>
        </w:rPr>
      </w:pPr>
      <w:r w:rsidRPr="00B40661">
        <w:rPr>
          <w:rFonts w:asciiTheme="majorHAnsi" w:hAnsiTheme="majorHAnsi" w:cstheme="majorHAnsi"/>
          <w:sz w:val="24"/>
          <w:szCs w:val="24"/>
        </w:rPr>
        <w:t>In particolare, quanto all’atto introduttivo, è stato riscritto l’art. 434 c.p.c.</w:t>
      </w:r>
      <w:r w:rsidRPr="00B40661">
        <w:rPr>
          <w:rFonts w:asciiTheme="majorHAnsi" w:hAnsiTheme="majorHAnsi" w:cstheme="majorHAnsi"/>
          <w:sz w:val="24"/>
          <w:szCs w:val="24"/>
          <w:vertAlign w:val="superscript"/>
        </w:rPr>
        <w:footnoteReference w:id="22"/>
      </w:r>
      <w:r w:rsidRPr="00B40661">
        <w:rPr>
          <w:rFonts w:asciiTheme="majorHAnsi" w:hAnsiTheme="majorHAnsi" w:cstheme="majorHAnsi"/>
          <w:sz w:val="24"/>
          <w:szCs w:val="24"/>
        </w:rPr>
        <w:t>, prevedendo, “analogamente a quanto fatto con riferimento all’articolo 342”</w:t>
      </w:r>
      <w:r w:rsidRPr="00B40661">
        <w:rPr>
          <w:rFonts w:asciiTheme="majorHAnsi" w:hAnsiTheme="majorHAnsi" w:cstheme="majorHAnsi"/>
          <w:sz w:val="24"/>
          <w:szCs w:val="24"/>
          <w:vertAlign w:val="superscript"/>
        </w:rPr>
        <w:footnoteReference w:id="23"/>
      </w:r>
      <w:r w:rsidRPr="00B40661">
        <w:rPr>
          <w:rFonts w:asciiTheme="majorHAnsi" w:hAnsiTheme="majorHAnsi" w:cstheme="majorHAnsi"/>
          <w:sz w:val="24"/>
          <w:szCs w:val="24"/>
        </w:rPr>
        <w:t xml:space="preserve">, che il ricorso, oltre al contenuto prescritto dall’art. 414 c.p.c., debba essere motivato e per ciascuno dei motivi, a pena di inammissibilità, debba indicare in modo </w:t>
      </w:r>
      <w:r w:rsidRPr="00B40661">
        <w:rPr>
          <w:rFonts w:asciiTheme="majorHAnsi" w:hAnsiTheme="majorHAnsi" w:cstheme="majorHAnsi"/>
          <w:b/>
          <w:sz w:val="24"/>
          <w:szCs w:val="24"/>
        </w:rPr>
        <w:t>chiaro</w:t>
      </w:r>
      <w:r w:rsidRPr="00B40661">
        <w:rPr>
          <w:rFonts w:asciiTheme="majorHAnsi" w:hAnsiTheme="majorHAnsi" w:cstheme="majorHAnsi"/>
          <w:sz w:val="24"/>
          <w:szCs w:val="24"/>
        </w:rPr>
        <w:t xml:space="preserve">, </w:t>
      </w:r>
      <w:r w:rsidRPr="00B40661">
        <w:rPr>
          <w:rFonts w:asciiTheme="majorHAnsi" w:hAnsiTheme="majorHAnsi" w:cstheme="majorHAnsi"/>
          <w:b/>
          <w:sz w:val="24"/>
          <w:szCs w:val="24"/>
        </w:rPr>
        <w:t>sintetico</w:t>
      </w:r>
      <w:r w:rsidRPr="00B40661">
        <w:rPr>
          <w:rFonts w:asciiTheme="majorHAnsi" w:hAnsiTheme="majorHAnsi" w:cstheme="majorHAnsi"/>
          <w:sz w:val="24"/>
          <w:szCs w:val="24"/>
        </w:rPr>
        <w:t xml:space="preserve"> e </w:t>
      </w:r>
      <w:r w:rsidRPr="00B40661">
        <w:rPr>
          <w:rFonts w:asciiTheme="majorHAnsi" w:hAnsiTheme="majorHAnsi" w:cstheme="majorHAnsi"/>
          <w:b/>
          <w:sz w:val="24"/>
          <w:szCs w:val="24"/>
        </w:rPr>
        <w:t>specifico</w:t>
      </w:r>
      <w:r w:rsidRPr="00B40661">
        <w:rPr>
          <w:rFonts w:asciiTheme="majorHAnsi" w:hAnsiTheme="majorHAnsi" w:cstheme="majorHAnsi"/>
          <w:sz w:val="24"/>
          <w:szCs w:val="24"/>
        </w:rPr>
        <w:t>:</w:t>
      </w:r>
    </w:p>
    <w:p w:rsidR="00D328EC" w:rsidRPr="00B40661" w:rsidRDefault="00D328EC" w:rsidP="00B40661">
      <w:pPr>
        <w:pStyle w:val="Paragrafoelenco"/>
        <w:numPr>
          <w:ilvl w:val="0"/>
          <w:numId w:val="34"/>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B40661">
        <w:rPr>
          <w:rFonts w:asciiTheme="majorHAnsi" w:hAnsiTheme="majorHAnsi" w:cstheme="majorHAnsi"/>
          <w:color w:val="000000"/>
          <w:sz w:val="24"/>
          <w:szCs w:val="24"/>
        </w:rPr>
        <w:t xml:space="preserve">Il </w:t>
      </w:r>
      <w:r w:rsidRPr="00B40661">
        <w:rPr>
          <w:rFonts w:asciiTheme="majorHAnsi" w:hAnsiTheme="majorHAnsi" w:cstheme="majorHAnsi"/>
          <w:b/>
          <w:color w:val="000000"/>
          <w:sz w:val="24"/>
          <w:szCs w:val="24"/>
        </w:rPr>
        <w:t>capo</w:t>
      </w:r>
      <w:r w:rsidRPr="00B40661">
        <w:rPr>
          <w:rFonts w:asciiTheme="majorHAnsi" w:hAnsiTheme="majorHAnsi" w:cstheme="majorHAnsi"/>
          <w:color w:val="000000"/>
          <w:sz w:val="24"/>
          <w:szCs w:val="24"/>
        </w:rPr>
        <w:t xml:space="preserve"> della decisione di primo grado che viene impugnato;</w:t>
      </w:r>
    </w:p>
    <w:p w:rsidR="00D328EC" w:rsidRPr="00B40661" w:rsidRDefault="00D328EC" w:rsidP="00B40661">
      <w:pPr>
        <w:pStyle w:val="Paragrafoelenco"/>
        <w:numPr>
          <w:ilvl w:val="0"/>
          <w:numId w:val="34"/>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B40661">
        <w:rPr>
          <w:rFonts w:asciiTheme="majorHAnsi" w:hAnsiTheme="majorHAnsi" w:cstheme="majorHAnsi"/>
          <w:color w:val="000000"/>
          <w:sz w:val="24"/>
          <w:szCs w:val="24"/>
        </w:rPr>
        <w:t xml:space="preserve">Le </w:t>
      </w:r>
      <w:r w:rsidRPr="00B40661">
        <w:rPr>
          <w:rFonts w:asciiTheme="majorHAnsi" w:hAnsiTheme="majorHAnsi" w:cstheme="majorHAnsi"/>
          <w:b/>
          <w:color w:val="000000"/>
          <w:sz w:val="24"/>
          <w:szCs w:val="24"/>
        </w:rPr>
        <w:t>censure</w:t>
      </w:r>
      <w:r w:rsidRPr="00B40661">
        <w:rPr>
          <w:rFonts w:asciiTheme="majorHAnsi" w:hAnsiTheme="majorHAnsi" w:cstheme="majorHAnsi"/>
          <w:color w:val="000000"/>
          <w:sz w:val="24"/>
          <w:szCs w:val="24"/>
        </w:rPr>
        <w:t xml:space="preserve"> proposte alla ricostruzione dei fatti compiuta dal giudice di promo grado;</w:t>
      </w:r>
    </w:p>
    <w:p w:rsidR="00D328EC" w:rsidRPr="00B40661" w:rsidRDefault="00D328EC" w:rsidP="00B40661">
      <w:pPr>
        <w:pStyle w:val="Paragrafoelenco"/>
        <w:numPr>
          <w:ilvl w:val="0"/>
          <w:numId w:val="34"/>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B40661">
        <w:rPr>
          <w:rFonts w:asciiTheme="majorHAnsi" w:hAnsiTheme="majorHAnsi" w:cstheme="majorHAnsi"/>
          <w:color w:val="000000"/>
          <w:sz w:val="24"/>
          <w:szCs w:val="24"/>
        </w:rPr>
        <w:t xml:space="preserve">Le </w:t>
      </w:r>
      <w:r w:rsidRPr="00B40661">
        <w:rPr>
          <w:rFonts w:asciiTheme="majorHAnsi" w:hAnsiTheme="majorHAnsi" w:cstheme="majorHAnsi"/>
          <w:b/>
          <w:color w:val="000000"/>
          <w:sz w:val="24"/>
          <w:szCs w:val="24"/>
        </w:rPr>
        <w:t>violazioni</w:t>
      </w:r>
      <w:r w:rsidRPr="00B40661">
        <w:rPr>
          <w:rFonts w:asciiTheme="majorHAnsi" w:hAnsiTheme="majorHAnsi" w:cstheme="majorHAnsi"/>
          <w:color w:val="000000"/>
          <w:sz w:val="24"/>
          <w:szCs w:val="24"/>
        </w:rPr>
        <w:t xml:space="preserve"> di legge denunciate e la loro rilevanza ai fini della decisione impugnata.</w:t>
      </w:r>
    </w:p>
    <w:p w:rsidR="00D328EC" w:rsidRPr="00B40661" w:rsidRDefault="00D328EC" w:rsidP="00B40661">
      <w:pPr>
        <w:spacing w:after="120" w:line="240" w:lineRule="auto"/>
        <w:ind w:firstLine="425"/>
        <w:jc w:val="both"/>
        <w:rPr>
          <w:rFonts w:asciiTheme="majorHAnsi" w:hAnsiTheme="majorHAnsi" w:cstheme="majorHAnsi"/>
          <w:sz w:val="24"/>
          <w:szCs w:val="24"/>
        </w:rPr>
      </w:pPr>
    </w:p>
    <w:p w:rsidR="00D328EC" w:rsidRPr="00B40661" w:rsidRDefault="00D328EC" w:rsidP="00B40661">
      <w:pPr>
        <w:spacing w:after="120" w:line="240" w:lineRule="auto"/>
        <w:ind w:firstLine="425"/>
        <w:jc w:val="both"/>
        <w:rPr>
          <w:rFonts w:asciiTheme="majorHAnsi" w:hAnsiTheme="majorHAnsi" w:cstheme="majorHAnsi"/>
          <w:b/>
          <w:sz w:val="24"/>
          <w:szCs w:val="24"/>
        </w:rPr>
      </w:pPr>
      <w:r w:rsidRPr="00B40661">
        <w:rPr>
          <w:rFonts w:asciiTheme="majorHAnsi" w:hAnsiTheme="majorHAnsi" w:cstheme="majorHAnsi"/>
          <w:b/>
          <w:sz w:val="24"/>
          <w:szCs w:val="24"/>
        </w:rPr>
        <w:t>L’ELIMINAZIONE DEL FILTRO IN APPELLO</w:t>
      </w:r>
    </w:p>
    <w:p w:rsidR="00D328EC" w:rsidRPr="00B40661" w:rsidRDefault="00D328EC" w:rsidP="00B40661">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 xml:space="preserve">Nella previgente formulazione, l’art. 436 </w:t>
      </w:r>
      <w:r w:rsidRPr="00B40661">
        <w:rPr>
          <w:rFonts w:asciiTheme="majorHAnsi" w:hAnsiTheme="majorHAnsi" w:cstheme="majorHAnsi"/>
          <w:i/>
          <w:sz w:val="24"/>
          <w:szCs w:val="24"/>
        </w:rPr>
        <w:t>bis</w:t>
      </w:r>
      <w:r w:rsidRPr="00B40661">
        <w:rPr>
          <w:rFonts w:asciiTheme="majorHAnsi" w:hAnsiTheme="majorHAnsi" w:cstheme="majorHAnsi"/>
          <w:sz w:val="24"/>
          <w:szCs w:val="24"/>
        </w:rPr>
        <w:t xml:space="preserve"> c.p.c. operava un rinvio agli artt. 348 </w:t>
      </w:r>
      <w:r w:rsidRPr="00B40661">
        <w:rPr>
          <w:rFonts w:asciiTheme="majorHAnsi" w:hAnsiTheme="majorHAnsi" w:cstheme="majorHAnsi"/>
          <w:i/>
          <w:sz w:val="24"/>
          <w:szCs w:val="24"/>
        </w:rPr>
        <w:t>bis</w:t>
      </w:r>
      <w:r w:rsidRPr="00B40661">
        <w:rPr>
          <w:rFonts w:asciiTheme="majorHAnsi" w:hAnsiTheme="majorHAnsi" w:cstheme="majorHAnsi"/>
          <w:sz w:val="24"/>
          <w:szCs w:val="24"/>
        </w:rPr>
        <w:t xml:space="preserve"> e 348 </w:t>
      </w:r>
      <w:r w:rsidRPr="00B40661">
        <w:rPr>
          <w:rFonts w:asciiTheme="majorHAnsi" w:hAnsiTheme="majorHAnsi" w:cstheme="majorHAnsi"/>
          <w:i/>
          <w:sz w:val="24"/>
          <w:szCs w:val="24"/>
        </w:rPr>
        <w:t>ter</w:t>
      </w:r>
      <w:r w:rsidRPr="00B40661">
        <w:rPr>
          <w:rFonts w:asciiTheme="majorHAnsi" w:hAnsiTheme="majorHAnsi" w:cstheme="majorHAnsi"/>
          <w:sz w:val="24"/>
          <w:szCs w:val="24"/>
        </w:rPr>
        <w:t xml:space="preserve"> c.p.c. che disciplinavano il filtro nell’appello del processo di cognizione ordinaria, ossia la pronuncia di inammissibilità nel caso in cui l’appello non avesse una ragionevole probabilità di essere accolto. </w:t>
      </w:r>
    </w:p>
    <w:p w:rsidR="00D328EC" w:rsidRPr="00B40661" w:rsidRDefault="00D328EC" w:rsidP="00B40661">
      <w:pPr>
        <w:spacing w:after="120" w:line="240" w:lineRule="auto"/>
        <w:ind w:firstLine="425"/>
        <w:jc w:val="both"/>
        <w:rPr>
          <w:rFonts w:asciiTheme="majorHAnsi" w:hAnsiTheme="majorHAnsi" w:cstheme="majorHAnsi"/>
          <w:sz w:val="24"/>
          <w:szCs w:val="24"/>
        </w:rPr>
      </w:pPr>
    </w:p>
    <w:p w:rsidR="00D328EC" w:rsidRPr="00B40661" w:rsidRDefault="00D328EC" w:rsidP="00B40661">
      <w:pPr>
        <w:spacing w:after="120" w:line="240" w:lineRule="auto"/>
        <w:ind w:firstLine="425"/>
        <w:jc w:val="both"/>
        <w:rPr>
          <w:rFonts w:asciiTheme="majorHAnsi" w:hAnsiTheme="majorHAnsi" w:cstheme="majorHAnsi"/>
          <w:b/>
          <w:sz w:val="24"/>
          <w:szCs w:val="24"/>
        </w:rPr>
      </w:pPr>
      <w:r w:rsidRPr="00B40661">
        <w:rPr>
          <w:rFonts w:asciiTheme="majorHAnsi" w:hAnsiTheme="majorHAnsi" w:cstheme="majorHAnsi"/>
          <w:b/>
          <w:sz w:val="24"/>
          <w:szCs w:val="24"/>
        </w:rPr>
        <w:t>LA DECISIONE</w:t>
      </w:r>
    </w:p>
    <w:p w:rsidR="00D328EC" w:rsidRPr="00B40661" w:rsidRDefault="00D328EC" w:rsidP="00B40661">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lastRenderedPageBreak/>
        <w:t xml:space="preserve">Il venir meno del meccanismo di filtro in appello nel rito ordinario ha comportato la riscrittura dell’art. 436 </w:t>
      </w:r>
      <w:r w:rsidRPr="00B40661">
        <w:rPr>
          <w:rFonts w:asciiTheme="majorHAnsi" w:hAnsiTheme="majorHAnsi" w:cstheme="majorHAnsi"/>
          <w:i/>
          <w:sz w:val="24"/>
          <w:szCs w:val="24"/>
        </w:rPr>
        <w:t>bis</w:t>
      </w:r>
      <w:r w:rsidRPr="00B40661">
        <w:rPr>
          <w:rFonts w:asciiTheme="majorHAnsi" w:hAnsiTheme="majorHAnsi" w:cstheme="majorHAnsi"/>
          <w:sz w:val="24"/>
          <w:szCs w:val="24"/>
        </w:rPr>
        <w:t xml:space="preserve"> c.p.c.</w:t>
      </w:r>
      <w:r w:rsidRPr="00B40661">
        <w:rPr>
          <w:rFonts w:asciiTheme="majorHAnsi" w:hAnsiTheme="majorHAnsi" w:cstheme="majorHAnsi"/>
          <w:sz w:val="24"/>
          <w:szCs w:val="24"/>
          <w:vertAlign w:val="superscript"/>
        </w:rPr>
        <w:footnoteReference w:id="24"/>
      </w:r>
      <w:r w:rsidRPr="00B40661">
        <w:rPr>
          <w:rFonts w:asciiTheme="majorHAnsi" w:hAnsiTheme="majorHAnsi" w:cstheme="majorHAnsi"/>
          <w:sz w:val="24"/>
          <w:szCs w:val="24"/>
        </w:rPr>
        <w:t xml:space="preserve"> il quale, nell’attuale formulazione, prevede che in caso di:</w:t>
      </w:r>
    </w:p>
    <w:p w:rsidR="00D328EC" w:rsidRPr="00B40661" w:rsidRDefault="00D328EC" w:rsidP="00B40661">
      <w:pPr>
        <w:pStyle w:val="Paragrafoelenco"/>
        <w:numPr>
          <w:ilvl w:val="0"/>
          <w:numId w:val="35"/>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B40661">
        <w:rPr>
          <w:rFonts w:asciiTheme="majorHAnsi" w:hAnsiTheme="majorHAnsi" w:cstheme="majorHAnsi"/>
          <w:color w:val="000000"/>
          <w:sz w:val="24"/>
          <w:szCs w:val="24"/>
        </w:rPr>
        <w:t xml:space="preserve">Improcedibilità </w:t>
      </w:r>
      <w:r w:rsidRPr="00B40661">
        <w:rPr>
          <w:rFonts w:asciiTheme="majorHAnsi" w:hAnsiTheme="majorHAnsi" w:cstheme="majorHAnsi"/>
          <w:i/>
          <w:color w:val="000000"/>
          <w:sz w:val="24"/>
          <w:szCs w:val="24"/>
        </w:rPr>
        <w:t>ex</w:t>
      </w:r>
      <w:r w:rsidRPr="00B40661">
        <w:rPr>
          <w:rFonts w:asciiTheme="majorHAnsi" w:hAnsiTheme="majorHAnsi" w:cstheme="majorHAnsi"/>
          <w:color w:val="000000"/>
          <w:sz w:val="24"/>
          <w:szCs w:val="24"/>
        </w:rPr>
        <w:t xml:space="preserve"> art. 348 c.p.c.</w:t>
      </w:r>
    </w:p>
    <w:p w:rsidR="00D328EC" w:rsidRPr="00B40661" w:rsidRDefault="00D328EC" w:rsidP="00B40661">
      <w:pPr>
        <w:pStyle w:val="Paragrafoelenco"/>
        <w:numPr>
          <w:ilvl w:val="0"/>
          <w:numId w:val="35"/>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B40661">
        <w:rPr>
          <w:rFonts w:asciiTheme="majorHAnsi" w:hAnsiTheme="majorHAnsi" w:cstheme="majorHAnsi"/>
          <w:color w:val="000000"/>
          <w:sz w:val="24"/>
          <w:szCs w:val="24"/>
        </w:rPr>
        <w:t xml:space="preserve">Inammissibilità o manifesta infondatezza </w:t>
      </w:r>
      <w:r w:rsidRPr="00B40661">
        <w:rPr>
          <w:rFonts w:asciiTheme="majorHAnsi" w:hAnsiTheme="majorHAnsi" w:cstheme="majorHAnsi"/>
          <w:i/>
          <w:color w:val="000000"/>
          <w:sz w:val="24"/>
          <w:szCs w:val="24"/>
        </w:rPr>
        <w:t>ex</w:t>
      </w:r>
      <w:r w:rsidRPr="00B40661">
        <w:rPr>
          <w:rFonts w:asciiTheme="majorHAnsi" w:hAnsiTheme="majorHAnsi" w:cstheme="majorHAnsi"/>
          <w:color w:val="000000"/>
          <w:sz w:val="24"/>
          <w:szCs w:val="24"/>
        </w:rPr>
        <w:t xml:space="preserve"> art. 348 </w:t>
      </w:r>
      <w:r w:rsidRPr="00B40661">
        <w:rPr>
          <w:rFonts w:asciiTheme="majorHAnsi" w:hAnsiTheme="majorHAnsi" w:cstheme="majorHAnsi"/>
          <w:i/>
          <w:color w:val="000000"/>
          <w:sz w:val="24"/>
          <w:szCs w:val="24"/>
        </w:rPr>
        <w:t>bis</w:t>
      </w:r>
      <w:r w:rsidRPr="00B40661">
        <w:rPr>
          <w:rFonts w:asciiTheme="majorHAnsi" w:hAnsiTheme="majorHAnsi" w:cstheme="majorHAnsi"/>
          <w:color w:val="000000"/>
          <w:sz w:val="24"/>
          <w:szCs w:val="24"/>
        </w:rPr>
        <w:t xml:space="preserve"> c.p.c.</w:t>
      </w:r>
    </w:p>
    <w:p w:rsidR="00D328EC" w:rsidRPr="00B40661" w:rsidRDefault="00D328EC" w:rsidP="00B40661">
      <w:pPr>
        <w:pStyle w:val="Paragrafoelenco"/>
        <w:numPr>
          <w:ilvl w:val="0"/>
          <w:numId w:val="35"/>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B40661">
        <w:rPr>
          <w:rFonts w:asciiTheme="majorHAnsi" w:hAnsiTheme="majorHAnsi" w:cstheme="majorHAnsi"/>
          <w:color w:val="000000"/>
          <w:sz w:val="24"/>
          <w:szCs w:val="24"/>
        </w:rPr>
        <w:t xml:space="preserve">Manifesta fondatezza </w:t>
      </w:r>
      <w:r w:rsidRPr="00B40661">
        <w:rPr>
          <w:rFonts w:asciiTheme="majorHAnsi" w:hAnsiTheme="majorHAnsi" w:cstheme="majorHAnsi"/>
          <w:i/>
          <w:color w:val="000000"/>
          <w:sz w:val="24"/>
          <w:szCs w:val="24"/>
        </w:rPr>
        <w:t>ex</w:t>
      </w:r>
      <w:r w:rsidRPr="00B40661">
        <w:rPr>
          <w:rFonts w:asciiTheme="majorHAnsi" w:hAnsiTheme="majorHAnsi" w:cstheme="majorHAnsi"/>
          <w:color w:val="000000"/>
          <w:sz w:val="24"/>
          <w:szCs w:val="24"/>
        </w:rPr>
        <w:t xml:space="preserve"> art. 350,</w:t>
      </w:r>
      <w:r w:rsidR="00D55AE7">
        <w:rPr>
          <w:rFonts w:asciiTheme="majorHAnsi" w:hAnsiTheme="majorHAnsi" w:cstheme="majorHAnsi"/>
          <w:color w:val="000000"/>
          <w:sz w:val="24"/>
          <w:szCs w:val="24"/>
        </w:rPr>
        <w:t xml:space="preserve"> co. 3</w:t>
      </w:r>
      <w:r w:rsidRPr="00B40661">
        <w:rPr>
          <w:rFonts w:asciiTheme="majorHAnsi" w:hAnsiTheme="majorHAnsi" w:cstheme="majorHAnsi"/>
          <w:color w:val="000000"/>
          <w:sz w:val="24"/>
          <w:szCs w:val="24"/>
        </w:rPr>
        <w:t>, c.p.c.</w:t>
      </w:r>
      <w:r w:rsidRPr="00B40661">
        <w:rPr>
          <w:rFonts w:asciiTheme="majorHAnsi" w:hAnsiTheme="majorHAnsi" w:cstheme="majorHAnsi"/>
          <w:sz w:val="24"/>
          <w:szCs w:val="24"/>
          <w:vertAlign w:val="superscript"/>
        </w:rPr>
        <w:footnoteReference w:id="25"/>
      </w:r>
    </w:p>
    <w:p w:rsidR="00D328EC" w:rsidRPr="00B40661" w:rsidRDefault="00D328EC" w:rsidP="00B40661">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 xml:space="preserve">Il collegio, sentite le parti, pronunci </w:t>
      </w:r>
      <w:r w:rsidRPr="00B40661">
        <w:rPr>
          <w:rFonts w:asciiTheme="majorHAnsi" w:hAnsiTheme="majorHAnsi" w:cstheme="majorHAnsi"/>
          <w:b/>
          <w:sz w:val="24"/>
          <w:szCs w:val="24"/>
        </w:rPr>
        <w:t>sentenza in forma sintetica</w:t>
      </w:r>
      <w:r w:rsidRPr="00B40661">
        <w:rPr>
          <w:rFonts w:asciiTheme="majorHAnsi" w:hAnsiTheme="majorHAnsi" w:cstheme="majorHAnsi"/>
          <w:sz w:val="24"/>
          <w:szCs w:val="24"/>
        </w:rPr>
        <w:t xml:space="preserve">, anche mediante riferimento al punto di fatto o alla questione di diritto ritenuti risolutivi o mediante rinvio a precedenti conformi. </w:t>
      </w:r>
    </w:p>
    <w:p w:rsidR="00D328EC" w:rsidRPr="00B40661" w:rsidRDefault="00D328EC" w:rsidP="00B40661">
      <w:pPr>
        <w:spacing w:after="120" w:line="240" w:lineRule="auto"/>
        <w:ind w:firstLine="425"/>
        <w:jc w:val="both"/>
        <w:rPr>
          <w:rFonts w:asciiTheme="majorHAnsi" w:hAnsiTheme="majorHAnsi" w:cstheme="majorHAnsi"/>
          <w:sz w:val="24"/>
          <w:szCs w:val="24"/>
        </w:rPr>
      </w:pPr>
      <w:bookmarkStart w:id="5" w:name="_gjdgxs" w:colFirst="0" w:colLast="0"/>
      <w:bookmarkEnd w:id="5"/>
      <w:r w:rsidRPr="00B40661">
        <w:rPr>
          <w:rFonts w:asciiTheme="majorHAnsi" w:hAnsiTheme="majorHAnsi" w:cstheme="majorHAnsi"/>
          <w:sz w:val="24"/>
          <w:szCs w:val="24"/>
        </w:rPr>
        <w:t xml:space="preserve"> </w:t>
      </w:r>
    </w:p>
    <w:p w:rsidR="00D328EC" w:rsidRPr="00B40661" w:rsidRDefault="00D328EC" w:rsidP="00B40661">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Accanto a questo modello di decisione “semplificato”, l’art. 437</w:t>
      </w:r>
      <w:r w:rsidR="00D55AE7">
        <w:rPr>
          <w:rFonts w:asciiTheme="majorHAnsi" w:hAnsiTheme="majorHAnsi" w:cstheme="majorHAnsi"/>
          <w:sz w:val="24"/>
          <w:szCs w:val="24"/>
        </w:rPr>
        <w:t xml:space="preserve"> c.p.c.</w:t>
      </w:r>
      <w:r w:rsidRPr="00B40661">
        <w:rPr>
          <w:rFonts w:asciiTheme="majorHAnsi" w:hAnsiTheme="majorHAnsi" w:cstheme="majorHAnsi"/>
          <w:sz w:val="24"/>
          <w:szCs w:val="24"/>
          <w:vertAlign w:val="superscript"/>
        </w:rPr>
        <w:footnoteReference w:id="26"/>
      </w:r>
      <w:r w:rsidRPr="00B40661">
        <w:rPr>
          <w:rFonts w:asciiTheme="majorHAnsi" w:hAnsiTheme="majorHAnsi" w:cstheme="majorHAnsi"/>
          <w:sz w:val="24"/>
          <w:szCs w:val="24"/>
        </w:rPr>
        <w:t xml:space="preserve"> prevede che, per i casi in cui non si applichi l’art. 436 </w:t>
      </w:r>
      <w:r w:rsidRPr="00B40661">
        <w:rPr>
          <w:rFonts w:asciiTheme="majorHAnsi" w:hAnsiTheme="majorHAnsi" w:cstheme="majorHAnsi"/>
          <w:i/>
          <w:sz w:val="24"/>
          <w:szCs w:val="24"/>
        </w:rPr>
        <w:t>bis</w:t>
      </w:r>
      <w:r w:rsidRPr="00B40661">
        <w:rPr>
          <w:rFonts w:asciiTheme="majorHAnsi" w:hAnsiTheme="majorHAnsi" w:cstheme="majorHAnsi"/>
          <w:sz w:val="24"/>
          <w:szCs w:val="24"/>
        </w:rPr>
        <w:t xml:space="preserve"> c.p.c., la decisione venga assunta dal collegio dopo aver sentito i difensori delle parti, dando lettura del dispositivo nella stessa udienza di discussione. </w:t>
      </w:r>
    </w:p>
    <w:p w:rsidR="00D328EC" w:rsidRPr="00B40661" w:rsidRDefault="00D328EC" w:rsidP="00B40661">
      <w:pPr>
        <w:spacing w:after="120" w:line="240" w:lineRule="auto"/>
        <w:ind w:firstLine="425"/>
        <w:jc w:val="both"/>
        <w:rPr>
          <w:rFonts w:asciiTheme="majorHAnsi" w:hAnsiTheme="majorHAnsi" w:cstheme="majorHAnsi"/>
          <w:sz w:val="24"/>
          <w:szCs w:val="24"/>
        </w:rPr>
      </w:pPr>
      <w:r w:rsidRPr="00B40661">
        <w:rPr>
          <w:rFonts w:asciiTheme="majorHAnsi" w:hAnsiTheme="majorHAnsi" w:cstheme="majorHAnsi"/>
          <w:sz w:val="24"/>
          <w:szCs w:val="24"/>
        </w:rPr>
        <w:t>L’art. 438 c.p.c.</w:t>
      </w:r>
      <w:r w:rsidRPr="00B40661">
        <w:rPr>
          <w:rFonts w:asciiTheme="majorHAnsi" w:hAnsiTheme="majorHAnsi" w:cstheme="majorHAnsi"/>
          <w:sz w:val="24"/>
          <w:szCs w:val="24"/>
          <w:vertAlign w:val="superscript"/>
        </w:rPr>
        <w:footnoteReference w:id="27"/>
      </w:r>
      <w:r w:rsidRPr="00B40661">
        <w:rPr>
          <w:rFonts w:asciiTheme="majorHAnsi" w:hAnsiTheme="majorHAnsi" w:cstheme="majorHAnsi"/>
          <w:sz w:val="24"/>
          <w:szCs w:val="24"/>
        </w:rPr>
        <w:t xml:space="preserve"> dispone che la sentenza sia depositata entro 60 giorni dalla pronuncia</w:t>
      </w:r>
      <w:r w:rsidRPr="00B40661">
        <w:rPr>
          <w:rFonts w:asciiTheme="majorHAnsi" w:hAnsiTheme="majorHAnsi" w:cstheme="majorHAnsi"/>
          <w:sz w:val="24"/>
          <w:szCs w:val="24"/>
          <w:vertAlign w:val="superscript"/>
        </w:rPr>
        <w:footnoteReference w:id="28"/>
      </w:r>
      <w:r w:rsidRPr="00B40661">
        <w:rPr>
          <w:rFonts w:asciiTheme="majorHAnsi" w:hAnsiTheme="majorHAnsi" w:cstheme="majorHAnsi"/>
          <w:sz w:val="24"/>
          <w:szCs w:val="24"/>
        </w:rPr>
        <w:t>.</w:t>
      </w:r>
    </w:p>
    <w:p w:rsidR="00D328EC" w:rsidRPr="00B40661" w:rsidRDefault="00D328EC" w:rsidP="00B40661">
      <w:pPr>
        <w:spacing w:after="120" w:line="240" w:lineRule="auto"/>
        <w:rPr>
          <w:rFonts w:asciiTheme="majorHAnsi" w:hAnsiTheme="majorHAnsi" w:cstheme="majorHAnsi"/>
          <w:sz w:val="24"/>
          <w:szCs w:val="24"/>
        </w:rPr>
      </w:pPr>
      <w:r w:rsidRPr="00B40661">
        <w:rPr>
          <w:rFonts w:asciiTheme="majorHAnsi" w:hAnsiTheme="majorHAnsi" w:cstheme="majorHAnsi"/>
          <w:sz w:val="24"/>
          <w:szCs w:val="24"/>
        </w:rPr>
        <w:t>La differenza tra i due modelli decisori, “semplificato” e “ordinario”</w:t>
      </w:r>
      <w:r w:rsidRPr="00B40661">
        <w:rPr>
          <w:rFonts w:asciiTheme="majorHAnsi" w:hAnsiTheme="majorHAnsi" w:cstheme="majorHAnsi"/>
          <w:sz w:val="24"/>
          <w:szCs w:val="24"/>
          <w:vertAlign w:val="superscript"/>
        </w:rPr>
        <w:footnoteReference w:id="29"/>
      </w:r>
      <w:r w:rsidRPr="00B40661">
        <w:rPr>
          <w:rFonts w:asciiTheme="majorHAnsi" w:hAnsiTheme="majorHAnsi" w:cstheme="majorHAnsi"/>
          <w:sz w:val="24"/>
          <w:szCs w:val="24"/>
        </w:rPr>
        <w:t>, riguarda essenzialmente le modalità di redazione della sentenza, poiché in entrambi i casi è previsto che la decisione venga resa all’esito dell’udienza di discussione</w:t>
      </w:r>
      <w:r w:rsidR="008A0212">
        <w:rPr>
          <w:rFonts w:asciiTheme="majorHAnsi" w:hAnsiTheme="majorHAnsi" w:cstheme="majorHAnsi"/>
          <w:sz w:val="24"/>
          <w:szCs w:val="24"/>
        </w:rPr>
        <w:t>.</w:t>
      </w:r>
    </w:p>
    <w:sectPr w:rsidR="00D328EC" w:rsidRPr="00B40661" w:rsidSect="00106AED">
      <w:headerReference w:type="default" r:id="rId8"/>
      <w:footerReference w:type="default" r:id="rId9"/>
      <w:pgSz w:w="11906" w:h="16838"/>
      <w:pgMar w:top="1417" w:right="1134" w:bottom="1134" w:left="1134"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F91" w:rsidRDefault="00607F91">
      <w:pPr>
        <w:spacing w:after="0" w:line="240" w:lineRule="auto"/>
      </w:pPr>
      <w:r>
        <w:separator/>
      </w:r>
    </w:p>
  </w:endnote>
  <w:endnote w:type="continuationSeparator" w:id="0">
    <w:p w:rsidR="00607F91" w:rsidRDefault="00607F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298896"/>
      <w:docPartObj>
        <w:docPartGallery w:val="Page Numbers (Bottom of Page)"/>
        <w:docPartUnique/>
      </w:docPartObj>
    </w:sdtPr>
    <w:sdtContent>
      <w:p w:rsidR="00D2098D" w:rsidRDefault="00106AED">
        <w:pPr>
          <w:pStyle w:val="Pidipagina"/>
          <w:jc w:val="center"/>
        </w:pPr>
        <w:r>
          <w:fldChar w:fldCharType="begin"/>
        </w:r>
        <w:r w:rsidR="00D2098D">
          <w:instrText>PAGE   \* MERGEFORMAT</w:instrText>
        </w:r>
        <w:r>
          <w:fldChar w:fldCharType="separate"/>
        </w:r>
        <w:r w:rsidR="005F6BFB">
          <w:rPr>
            <w:noProof/>
          </w:rPr>
          <w:t>11</w:t>
        </w:r>
        <w:r>
          <w:fldChar w:fldCharType="end"/>
        </w:r>
      </w:p>
    </w:sdtContent>
  </w:sdt>
  <w:p w:rsidR="00E45EAB" w:rsidRDefault="00E45EA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F91" w:rsidRDefault="00607F91">
      <w:pPr>
        <w:spacing w:after="0" w:line="240" w:lineRule="auto"/>
      </w:pPr>
      <w:r>
        <w:separator/>
      </w:r>
    </w:p>
  </w:footnote>
  <w:footnote w:type="continuationSeparator" w:id="0">
    <w:p w:rsidR="00607F91" w:rsidRDefault="00607F91">
      <w:pPr>
        <w:spacing w:after="0" w:line="240" w:lineRule="auto"/>
      </w:pPr>
      <w:r>
        <w:continuationSeparator/>
      </w:r>
    </w:p>
  </w:footnote>
  <w:footnote w:id="1">
    <w:p w:rsidR="00975858" w:rsidRPr="00975858" w:rsidRDefault="00D328EC" w:rsidP="009B0221">
      <w:pPr>
        <w:pStyle w:val="Testonotaapidipagina"/>
        <w:ind w:firstLine="425"/>
        <w:jc w:val="both"/>
        <w:rPr>
          <w:rFonts w:asciiTheme="majorHAnsi" w:hAnsiTheme="majorHAnsi" w:cstheme="majorHAnsi"/>
          <w:iCs/>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Pr="00DF1C01">
        <w:rPr>
          <w:rFonts w:asciiTheme="majorHAnsi" w:hAnsiTheme="majorHAnsi" w:cstheme="majorHAnsi"/>
          <w:b/>
        </w:rPr>
        <w:t xml:space="preserve">Art. 2 </w:t>
      </w:r>
      <w:r w:rsidRPr="00975858">
        <w:rPr>
          <w:rFonts w:asciiTheme="majorHAnsi" w:hAnsiTheme="majorHAnsi" w:cstheme="majorHAnsi"/>
          <w:b/>
          <w:i/>
          <w:iCs/>
        </w:rPr>
        <w:t>ter</w:t>
      </w:r>
      <w:r w:rsidRPr="00DF1C01">
        <w:rPr>
          <w:rFonts w:asciiTheme="majorHAnsi" w:hAnsiTheme="majorHAnsi" w:cstheme="majorHAnsi"/>
          <w:b/>
        </w:rPr>
        <w:t xml:space="preserve"> c.p.c. </w:t>
      </w:r>
      <w:r w:rsidRPr="00975858">
        <w:rPr>
          <w:rFonts w:asciiTheme="majorHAnsi" w:hAnsiTheme="majorHAnsi" w:cstheme="majorHAnsi"/>
          <w:iCs/>
        </w:rPr>
        <w:t>“Negoziazione assistita nelle controversie di lavoro</w:t>
      </w:r>
      <w:r w:rsidR="00975858">
        <w:rPr>
          <w:rFonts w:asciiTheme="majorHAnsi" w:hAnsiTheme="majorHAnsi" w:cstheme="majorHAnsi"/>
          <w:iCs/>
        </w:rPr>
        <w:t>”</w:t>
      </w:r>
      <w:r w:rsidR="00975858" w:rsidRPr="00975858">
        <w:rPr>
          <w:rFonts w:asciiTheme="majorHAnsi" w:hAnsiTheme="majorHAnsi" w:cstheme="majorHAnsi"/>
          <w:iCs/>
        </w:rPr>
        <w:t>:</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Per le controversie di cui all</w:t>
      </w:r>
      <w:r w:rsidR="00975858">
        <w:rPr>
          <w:rFonts w:asciiTheme="majorHAnsi" w:hAnsiTheme="majorHAnsi" w:cstheme="majorHAnsi"/>
          <w:i/>
        </w:rPr>
        <w:t>’</w:t>
      </w:r>
      <w:r w:rsidRPr="00DF1C01">
        <w:rPr>
          <w:rFonts w:asciiTheme="majorHAnsi" w:hAnsiTheme="majorHAnsi" w:cstheme="majorHAnsi"/>
          <w:i/>
        </w:rPr>
        <w:t>articolo 409 del codice di procedura civile, fermo restando quanto disposto dall'articolo 412-ter del medesimo codice, le parti possono ricorrere alla negoziazione assistita senza che ciò costituisca condizione di procedibilità della domanda giudiziale. Ciascuna parte è assistita da almeno un avvocato e può essere anche assistita da un consulente del lavoro. All</w:t>
      </w:r>
      <w:r w:rsidR="00975858">
        <w:rPr>
          <w:rFonts w:asciiTheme="majorHAnsi" w:hAnsiTheme="majorHAnsi" w:cstheme="majorHAnsi"/>
          <w:i/>
        </w:rPr>
        <w:t>’</w:t>
      </w:r>
      <w:r w:rsidRPr="00DF1C01">
        <w:rPr>
          <w:rFonts w:asciiTheme="majorHAnsi" w:hAnsiTheme="majorHAnsi" w:cstheme="majorHAnsi"/>
          <w:i/>
        </w:rPr>
        <w:t>accordo raggiunto all'esito della procedura di negoziazione assistita si applica l'articolo 2113, quarto comma, del codice civile. L</w:t>
      </w:r>
      <w:r w:rsidR="00975858">
        <w:rPr>
          <w:rFonts w:asciiTheme="majorHAnsi" w:hAnsiTheme="majorHAnsi" w:cstheme="majorHAnsi"/>
          <w:i/>
        </w:rPr>
        <w:t>’</w:t>
      </w:r>
      <w:r w:rsidRPr="00DF1C01">
        <w:rPr>
          <w:rFonts w:asciiTheme="majorHAnsi" w:hAnsiTheme="majorHAnsi" w:cstheme="majorHAnsi"/>
          <w:i/>
        </w:rPr>
        <w:t>accordo è trasmesso a cura di una delle due parti, entro dieci giorni, ad uno degli organismi di cui al</w:t>
      </w:r>
      <w:r w:rsidR="00975858">
        <w:rPr>
          <w:rFonts w:asciiTheme="majorHAnsi" w:hAnsiTheme="majorHAnsi" w:cstheme="majorHAnsi"/>
          <w:i/>
        </w:rPr>
        <w:t>l’</w:t>
      </w:r>
      <w:r w:rsidRPr="00DF1C01">
        <w:rPr>
          <w:rFonts w:asciiTheme="majorHAnsi" w:hAnsiTheme="majorHAnsi" w:cstheme="majorHAnsi"/>
          <w:i/>
        </w:rPr>
        <w:t>articolo 76 del decreto legislativo 10 settembre 2003, n. 276.</w:t>
      </w:r>
    </w:p>
  </w:footnote>
  <w:footnote w:id="2">
    <w:p w:rsidR="00975858" w:rsidRPr="00975858" w:rsidRDefault="00D328EC" w:rsidP="009B0221">
      <w:pPr>
        <w:pStyle w:val="Testonotaapidipagina"/>
        <w:ind w:firstLine="425"/>
        <w:jc w:val="both"/>
        <w:rPr>
          <w:rFonts w:asciiTheme="majorHAnsi" w:hAnsiTheme="majorHAnsi" w:cstheme="majorHAnsi"/>
        </w:rPr>
      </w:pPr>
      <w:r w:rsidRPr="00975858">
        <w:rPr>
          <w:rStyle w:val="Rimandonotaapidipagina"/>
          <w:rFonts w:asciiTheme="majorHAnsi" w:hAnsiTheme="majorHAnsi" w:cstheme="majorHAnsi"/>
        </w:rPr>
        <w:footnoteRef/>
      </w:r>
      <w:r w:rsidRPr="00975858">
        <w:rPr>
          <w:rFonts w:asciiTheme="majorHAnsi" w:hAnsiTheme="majorHAnsi" w:cstheme="majorHAnsi"/>
        </w:rPr>
        <w:t xml:space="preserve"> </w:t>
      </w:r>
      <w:r w:rsidRPr="00975858">
        <w:rPr>
          <w:rFonts w:asciiTheme="majorHAnsi" w:hAnsiTheme="majorHAnsi" w:cstheme="majorHAnsi"/>
          <w:b/>
        </w:rPr>
        <w:t>Art. 412</w:t>
      </w:r>
      <w:r w:rsidR="00975858">
        <w:rPr>
          <w:rFonts w:asciiTheme="majorHAnsi" w:hAnsiTheme="majorHAnsi" w:cstheme="majorHAnsi"/>
          <w:b/>
        </w:rPr>
        <w:t xml:space="preserve"> </w:t>
      </w:r>
      <w:r w:rsidRPr="00975858">
        <w:rPr>
          <w:rFonts w:asciiTheme="majorHAnsi" w:hAnsiTheme="majorHAnsi" w:cstheme="majorHAnsi"/>
          <w:b/>
          <w:i/>
          <w:iCs/>
        </w:rPr>
        <w:t>ter</w:t>
      </w:r>
      <w:r w:rsidRPr="00975858">
        <w:rPr>
          <w:rFonts w:asciiTheme="majorHAnsi" w:hAnsiTheme="majorHAnsi" w:cstheme="majorHAnsi"/>
          <w:b/>
        </w:rPr>
        <w:t xml:space="preserve"> c.p.c. </w:t>
      </w:r>
      <w:r w:rsidRPr="00975858">
        <w:rPr>
          <w:rFonts w:asciiTheme="majorHAnsi" w:hAnsiTheme="majorHAnsi" w:cstheme="majorHAnsi"/>
        </w:rPr>
        <w:t>“Altre modalità di conciliazione e arbitrato previste dalla contrattazione collettiva</w:t>
      </w:r>
      <w:r w:rsidR="00975858" w:rsidRPr="00975858">
        <w:rPr>
          <w:rFonts w:asciiTheme="majorHAnsi" w:hAnsiTheme="majorHAnsi" w:cstheme="majorHAnsi"/>
        </w:rPr>
        <w:t>:</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La conciliazione e l</w:t>
      </w:r>
      <w:r w:rsidR="00975858">
        <w:rPr>
          <w:rFonts w:asciiTheme="majorHAnsi" w:hAnsiTheme="majorHAnsi" w:cstheme="majorHAnsi"/>
          <w:i/>
        </w:rPr>
        <w:t>’</w:t>
      </w:r>
      <w:r w:rsidRPr="00DF1C01">
        <w:rPr>
          <w:rFonts w:asciiTheme="majorHAnsi" w:hAnsiTheme="majorHAnsi" w:cstheme="majorHAnsi"/>
          <w:i/>
        </w:rPr>
        <w:t>arbitrato, nelle materie di cui all</w:t>
      </w:r>
      <w:r w:rsidR="00975858">
        <w:rPr>
          <w:rFonts w:asciiTheme="majorHAnsi" w:hAnsiTheme="majorHAnsi" w:cstheme="majorHAnsi"/>
          <w:i/>
        </w:rPr>
        <w:t>’</w:t>
      </w:r>
      <w:r w:rsidRPr="00DF1C01">
        <w:rPr>
          <w:rFonts w:asciiTheme="majorHAnsi" w:hAnsiTheme="majorHAnsi" w:cstheme="majorHAnsi"/>
          <w:i/>
        </w:rPr>
        <w:t>articolo 409, possono essere svolti altresì presso le sedi e con le modalità previste dai contratti collettivi sottoscritti dalle associazioni sindacali maggiormente rappresentative”.</w:t>
      </w:r>
    </w:p>
  </w:footnote>
  <w:footnote w:id="3">
    <w:p w:rsidR="00975858" w:rsidRDefault="00975858" w:rsidP="009B0221">
      <w:pPr>
        <w:pStyle w:val="Testonotaapidipagina"/>
        <w:ind w:firstLine="425"/>
        <w:jc w:val="both"/>
        <w:rPr>
          <w:rFonts w:asciiTheme="majorHAnsi" w:hAnsiTheme="majorHAnsi" w:cstheme="majorHAnsi"/>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Pr="00DF1C01">
        <w:rPr>
          <w:rFonts w:asciiTheme="majorHAnsi" w:hAnsiTheme="majorHAnsi" w:cstheme="majorHAnsi"/>
          <w:b/>
        </w:rPr>
        <w:t>Art. 2113 c.c.</w:t>
      </w:r>
      <w:r>
        <w:rPr>
          <w:rFonts w:asciiTheme="majorHAnsi" w:hAnsiTheme="majorHAnsi" w:cstheme="majorHAnsi"/>
          <w:b/>
        </w:rPr>
        <w:t xml:space="preserve"> </w:t>
      </w:r>
      <w:r w:rsidRPr="00975858">
        <w:rPr>
          <w:rFonts w:asciiTheme="majorHAnsi" w:hAnsiTheme="majorHAnsi" w:cstheme="majorHAnsi"/>
          <w:bCs/>
        </w:rPr>
        <w:t>“Rinunzie e transazioni”:</w:t>
      </w:r>
    </w:p>
    <w:p w:rsidR="00975858" w:rsidRPr="00DF1C01" w:rsidRDefault="00975858"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Le rinunzie e le transazioni, che hanno per oggetto diritti del prestatore di lavoro derivanti da disposizioni inderogabili della legge e dei contratti o accordi collettivi concernenti i rapporti di cui all'articolo 409 del codice di procedura civile, non sono valide.</w:t>
      </w:r>
    </w:p>
    <w:p w:rsidR="00975858" w:rsidRPr="00DF1C01" w:rsidRDefault="00975858"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L</w:t>
      </w:r>
      <w:r>
        <w:rPr>
          <w:rFonts w:asciiTheme="majorHAnsi" w:hAnsiTheme="majorHAnsi" w:cstheme="majorHAnsi"/>
          <w:i/>
        </w:rPr>
        <w:t>’</w:t>
      </w:r>
      <w:r w:rsidRPr="00DF1C01">
        <w:rPr>
          <w:rFonts w:asciiTheme="majorHAnsi" w:hAnsiTheme="majorHAnsi" w:cstheme="majorHAnsi"/>
          <w:i/>
        </w:rPr>
        <w:t>impugnazione deve essere proposta, a pena di decadenza, entro sei mesi dalla data di cessazione del rapporto o dalla data della rinunzia o della transazione, se queste sono intervenute dopo la cessazione medesima.</w:t>
      </w:r>
    </w:p>
    <w:p w:rsidR="00975858" w:rsidRPr="00DF1C01" w:rsidRDefault="00975858"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Le rinunzie e le transazioni di cui ai commi precedenti possono essere impugnate con qualsiasi atto scritto, anche stragiudiziale, del lavoratore idoneo a renderne nota la volontà.</w:t>
      </w:r>
    </w:p>
    <w:p w:rsidR="00975858" w:rsidRPr="00DF1C01" w:rsidRDefault="00975858" w:rsidP="009B0221">
      <w:pPr>
        <w:pStyle w:val="Testonotaapidipagina"/>
        <w:ind w:firstLine="425"/>
        <w:jc w:val="both"/>
        <w:rPr>
          <w:rFonts w:asciiTheme="majorHAnsi" w:hAnsiTheme="majorHAnsi" w:cstheme="majorHAnsi"/>
        </w:rPr>
      </w:pPr>
      <w:r w:rsidRPr="00DF1C01">
        <w:rPr>
          <w:rFonts w:asciiTheme="majorHAnsi" w:hAnsiTheme="majorHAnsi" w:cstheme="majorHAnsi"/>
          <w:i/>
        </w:rPr>
        <w:t>Le disposizioni del presente articolo non si applicano alla conciliazione intervenuta ai sensi degli articoli 185, 410, 411, 412 ter e 412 quater del codice di procedura civile.</w:t>
      </w:r>
    </w:p>
  </w:footnote>
  <w:footnote w:id="4">
    <w:p w:rsidR="00975858" w:rsidRDefault="00D328EC" w:rsidP="009B0221">
      <w:pPr>
        <w:pStyle w:val="Testonotaapidipagina"/>
        <w:ind w:firstLine="425"/>
        <w:jc w:val="both"/>
        <w:rPr>
          <w:rFonts w:asciiTheme="majorHAnsi" w:hAnsiTheme="majorHAnsi" w:cstheme="majorHAnsi"/>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Pr="00DF1C01">
        <w:rPr>
          <w:rFonts w:asciiTheme="majorHAnsi" w:hAnsiTheme="majorHAnsi" w:cstheme="majorHAnsi"/>
          <w:b/>
        </w:rPr>
        <w:t>Art. 76 D.L. 10 settembre 2003, n. 276</w:t>
      </w:r>
      <w:r w:rsidRPr="00DF1C01">
        <w:rPr>
          <w:rFonts w:asciiTheme="majorHAnsi" w:hAnsiTheme="majorHAnsi" w:cstheme="majorHAnsi"/>
        </w:rPr>
        <w:t xml:space="preserve"> “</w:t>
      </w:r>
      <w:r w:rsidR="00975858" w:rsidRPr="00975858">
        <w:rPr>
          <w:rFonts w:asciiTheme="majorHAnsi" w:hAnsiTheme="majorHAnsi" w:cstheme="majorHAnsi"/>
        </w:rPr>
        <w:t>Organi di certificazione</w:t>
      </w:r>
      <w:r w:rsidR="00975858">
        <w:rPr>
          <w:rFonts w:asciiTheme="majorHAnsi" w:hAnsiTheme="majorHAnsi" w:cstheme="majorHAnsi"/>
        </w:rPr>
        <w:t>”:</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1. Sono organi abilitati alla certificazione dei contratti di lavoro le commissioni di certificazione istituite presso:</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a) gli enti bilaterali costituiti nell</w:t>
      </w:r>
      <w:r w:rsidR="00975858">
        <w:rPr>
          <w:rFonts w:asciiTheme="majorHAnsi" w:hAnsiTheme="majorHAnsi" w:cstheme="majorHAnsi"/>
          <w:i/>
        </w:rPr>
        <w:t>’</w:t>
      </w:r>
      <w:r w:rsidRPr="00DF1C01">
        <w:rPr>
          <w:rFonts w:asciiTheme="majorHAnsi" w:hAnsiTheme="majorHAnsi" w:cstheme="majorHAnsi"/>
          <w:i/>
        </w:rPr>
        <w:t>ambito territoriale di riferimento ovvero a livello nazionale quando la commissione di certificazione sia costituita nell</w:t>
      </w:r>
      <w:r w:rsidR="00975858">
        <w:rPr>
          <w:rFonts w:asciiTheme="majorHAnsi" w:hAnsiTheme="majorHAnsi" w:cstheme="majorHAnsi"/>
          <w:i/>
        </w:rPr>
        <w:t>’</w:t>
      </w:r>
      <w:r w:rsidRPr="00DF1C01">
        <w:rPr>
          <w:rFonts w:asciiTheme="majorHAnsi" w:hAnsiTheme="majorHAnsi" w:cstheme="majorHAnsi"/>
          <w:i/>
        </w:rPr>
        <w:t>ambito di organismi bilaterali a competenza nazionale;</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b) le Direzioni provinciali del lavoro e le province, secondo quanto stabilito da apposito decreto del Ministro del lavoro e delle politiche sociali entro sessanta giorni dalla entrata in vigore del presente decreto;</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c) le università pubbliche e private, comprese le Fondazioni universitarie, registrate nell</w:t>
      </w:r>
      <w:r w:rsidR="00975858">
        <w:rPr>
          <w:rFonts w:asciiTheme="majorHAnsi" w:hAnsiTheme="majorHAnsi" w:cstheme="majorHAnsi"/>
          <w:i/>
        </w:rPr>
        <w:t>’</w:t>
      </w:r>
      <w:r w:rsidRPr="00DF1C01">
        <w:rPr>
          <w:rFonts w:asciiTheme="majorHAnsi" w:hAnsiTheme="majorHAnsi" w:cstheme="majorHAnsi"/>
          <w:i/>
        </w:rPr>
        <w:t>albo di cui al comma 2, esclusivamente nell</w:t>
      </w:r>
      <w:r w:rsidR="00975858">
        <w:rPr>
          <w:rFonts w:asciiTheme="majorHAnsi" w:hAnsiTheme="majorHAnsi" w:cstheme="majorHAnsi"/>
          <w:i/>
        </w:rPr>
        <w:t>’</w:t>
      </w:r>
      <w:r w:rsidRPr="00DF1C01">
        <w:rPr>
          <w:rFonts w:asciiTheme="majorHAnsi" w:hAnsiTheme="majorHAnsi" w:cstheme="majorHAnsi"/>
          <w:i/>
        </w:rPr>
        <w:t>ambito di rapporti di collaborazione e consulenza attivati con docenti di diritto del lavoro di ruolo ai sensi dell</w:t>
      </w:r>
      <w:r w:rsidR="00975858">
        <w:rPr>
          <w:rFonts w:asciiTheme="majorHAnsi" w:hAnsiTheme="majorHAnsi" w:cstheme="majorHAnsi"/>
          <w:i/>
        </w:rPr>
        <w:t>’</w:t>
      </w:r>
      <w:r w:rsidRPr="00DF1C01">
        <w:rPr>
          <w:rFonts w:asciiTheme="majorHAnsi" w:hAnsiTheme="majorHAnsi" w:cstheme="majorHAnsi"/>
          <w:i/>
        </w:rPr>
        <w:t>articolo 66 del decreto del Presidente della Repubblica 11 luglio 1980, n. 382;</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c-bis) il Ministero del lavoro e delle politiche sociali - Direzione generale della tutela delle condizioni di lavoro, esclusivamente nei casi in cui il datore di lavoro abbia le proprie sedi di lavoro in almeno due province anche di regioni diverse ovvero per quei datori di lavoro con unica sede di lavoro associati ad organizzazioni imprenditoriali che abbiano predisposto a livello nazionale schemi di convenzioni certificati dalla commissione di certificazione istituita presso il Ministero del lavoro e delle politiche sociali, nell</w:t>
      </w:r>
      <w:r w:rsidR="00975858">
        <w:rPr>
          <w:rFonts w:asciiTheme="majorHAnsi" w:hAnsiTheme="majorHAnsi" w:cstheme="majorHAnsi"/>
          <w:i/>
        </w:rPr>
        <w:t>’</w:t>
      </w:r>
      <w:r w:rsidRPr="00DF1C01">
        <w:rPr>
          <w:rFonts w:asciiTheme="majorHAnsi" w:hAnsiTheme="majorHAnsi" w:cstheme="majorHAnsi"/>
          <w:i/>
        </w:rPr>
        <w:t xml:space="preserve">ambito delle risorse umane e strumentali già operanti presso la Direzione generale della tutela delle condizioni di lavoro; </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c-ter) i consigli provinciali dei consulenti del lavoro di cui alla legge 11 gennaio 1979, n. 12, esclusivamente per i contratti di lavoro instaurati nell</w:t>
      </w:r>
      <w:r w:rsidR="00975858">
        <w:rPr>
          <w:rFonts w:asciiTheme="majorHAnsi" w:hAnsiTheme="majorHAnsi" w:cstheme="majorHAnsi"/>
          <w:i/>
        </w:rPr>
        <w:t>’</w:t>
      </w:r>
      <w:r w:rsidRPr="00DF1C01">
        <w:rPr>
          <w:rFonts w:asciiTheme="majorHAnsi" w:hAnsiTheme="majorHAnsi" w:cstheme="majorHAnsi"/>
          <w:i/>
        </w:rPr>
        <w:t>ambito territoriale di riferimento e senza nuovi o maggiori oneri per la finanza pubblica e comunque unicamente nell</w:t>
      </w:r>
      <w:r w:rsidR="00975858">
        <w:rPr>
          <w:rFonts w:asciiTheme="majorHAnsi" w:hAnsiTheme="majorHAnsi" w:cstheme="majorHAnsi"/>
          <w:i/>
        </w:rPr>
        <w:t>’</w:t>
      </w:r>
      <w:r w:rsidRPr="00DF1C01">
        <w:rPr>
          <w:rFonts w:asciiTheme="majorHAnsi" w:hAnsiTheme="majorHAnsi" w:cstheme="majorHAnsi"/>
          <w:i/>
        </w:rPr>
        <w:t>ambito di intese definite tra il Ministero del lavoro e delle politiche sociali e il Consiglio nazionale dei consulenti del lavoro, con l</w:t>
      </w:r>
      <w:r w:rsidR="00975858">
        <w:rPr>
          <w:rFonts w:asciiTheme="majorHAnsi" w:hAnsiTheme="majorHAnsi" w:cstheme="majorHAnsi"/>
          <w:i/>
        </w:rPr>
        <w:t>’</w:t>
      </w:r>
      <w:r w:rsidRPr="00DF1C01">
        <w:rPr>
          <w:rFonts w:asciiTheme="majorHAnsi" w:hAnsiTheme="majorHAnsi" w:cstheme="majorHAnsi"/>
          <w:i/>
        </w:rPr>
        <w:t>attribuzione a quest</w:t>
      </w:r>
      <w:r w:rsidR="00975858">
        <w:rPr>
          <w:rFonts w:asciiTheme="majorHAnsi" w:hAnsiTheme="majorHAnsi" w:cstheme="majorHAnsi"/>
          <w:i/>
        </w:rPr>
        <w:t>’</w:t>
      </w:r>
      <w:r w:rsidRPr="00DF1C01">
        <w:rPr>
          <w:rFonts w:asciiTheme="majorHAnsi" w:hAnsiTheme="majorHAnsi" w:cstheme="majorHAnsi"/>
          <w:i/>
        </w:rPr>
        <w:t>ultimo delle funzioni di coordinamento e vigilanza per gli aspetti organizzativi.</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 xml:space="preserve">1-bis. Nel solo caso di cui al comma 1, lettera c-bis), le commissioni di certificazione istituite presso le direzioni provinciali del lavoro e le province limitano la loro funzione alla ratifica di quanto certificato dalla commissione di certificazione istituita presso il Ministero del lavoro e delle politiche sociali. </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2. Per essere abilitate alla certificazione ai sensi del comma 1, le università sono tenute a registrarsi presso un apposito albo istituito presso il Ministero del lavoro e delle politiche sociali con apposito decreto del Ministro del lavoro e delle politiche sociali di concerto con il Ministro dell</w:t>
      </w:r>
      <w:r w:rsidR="00975858">
        <w:rPr>
          <w:rFonts w:asciiTheme="majorHAnsi" w:hAnsiTheme="majorHAnsi" w:cstheme="majorHAnsi"/>
          <w:i/>
        </w:rPr>
        <w:t>’</w:t>
      </w:r>
      <w:r w:rsidRPr="00DF1C01">
        <w:rPr>
          <w:rFonts w:asciiTheme="majorHAnsi" w:hAnsiTheme="majorHAnsi" w:cstheme="majorHAnsi"/>
          <w:i/>
        </w:rPr>
        <w:t>istruzione, della università e della ricerca. Per ottenere la registrazione le università sono tenute a inviare, all</w:t>
      </w:r>
      <w:r w:rsidR="00975858">
        <w:rPr>
          <w:rFonts w:asciiTheme="majorHAnsi" w:hAnsiTheme="majorHAnsi" w:cstheme="majorHAnsi"/>
          <w:i/>
        </w:rPr>
        <w:t>’</w:t>
      </w:r>
      <w:r w:rsidRPr="00DF1C01">
        <w:rPr>
          <w:rFonts w:asciiTheme="majorHAnsi" w:hAnsiTheme="majorHAnsi" w:cstheme="majorHAnsi"/>
          <w:i/>
        </w:rPr>
        <w:t xml:space="preserve">atto della registrazione e ogni sei mesi, studi ed elaborati contenenti indici e criteri giurisprudenziali di qualificazione dei contratti di lavoro con riferimento a tipologie di lavoro indicate dal Ministero del lavoro e delle politiche sociali. </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3. Le commissioni istituite ai sensi dei commi che precedono possono concludere convenzioni con le quali prevedano la costituzione di una commissione unitaria di certificazione.</w:t>
      </w:r>
    </w:p>
  </w:footnote>
  <w:footnote w:id="5">
    <w:p w:rsidR="00975858" w:rsidRDefault="00D328EC" w:rsidP="009B0221">
      <w:pPr>
        <w:pStyle w:val="comma"/>
        <w:spacing w:before="0" w:beforeAutospacing="0" w:after="0" w:afterAutospacing="0"/>
        <w:ind w:firstLine="425"/>
        <w:contextualSpacing/>
        <w:jc w:val="both"/>
        <w:rPr>
          <w:rFonts w:asciiTheme="majorHAnsi" w:hAnsiTheme="majorHAnsi" w:cstheme="majorHAnsi"/>
          <w:sz w:val="20"/>
          <w:szCs w:val="20"/>
        </w:rPr>
      </w:pPr>
      <w:r w:rsidRPr="00DF1C01">
        <w:rPr>
          <w:rStyle w:val="Rimandonotaapidipagina"/>
          <w:rFonts w:asciiTheme="majorHAnsi" w:hAnsiTheme="majorHAnsi" w:cstheme="majorHAnsi"/>
          <w:sz w:val="20"/>
          <w:szCs w:val="20"/>
        </w:rPr>
        <w:footnoteRef/>
      </w:r>
      <w:r w:rsidRPr="00DF1C01">
        <w:rPr>
          <w:rFonts w:asciiTheme="majorHAnsi" w:hAnsiTheme="majorHAnsi" w:cstheme="majorHAnsi"/>
          <w:sz w:val="20"/>
          <w:szCs w:val="20"/>
        </w:rPr>
        <w:t xml:space="preserve"> </w:t>
      </w:r>
      <w:r w:rsidRPr="00DF1C01">
        <w:rPr>
          <w:rFonts w:asciiTheme="majorHAnsi" w:hAnsiTheme="majorHAnsi" w:cstheme="majorHAnsi"/>
          <w:b/>
          <w:sz w:val="20"/>
          <w:szCs w:val="20"/>
        </w:rPr>
        <w:t>Art. 441</w:t>
      </w:r>
      <w:r w:rsidR="00975858">
        <w:rPr>
          <w:rFonts w:asciiTheme="majorHAnsi" w:hAnsiTheme="majorHAnsi" w:cstheme="majorHAnsi"/>
          <w:b/>
          <w:sz w:val="20"/>
          <w:szCs w:val="20"/>
        </w:rPr>
        <w:t xml:space="preserve"> </w:t>
      </w:r>
      <w:r w:rsidRPr="00975858">
        <w:rPr>
          <w:rFonts w:asciiTheme="majorHAnsi" w:hAnsiTheme="majorHAnsi" w:cstheme="majorHAnsi"/>
          <w:b/>
          <w:i/>
          <w:iCs/>
          <w:sz w:val="20"/>
          <w:szCs w:val="20"/>
        </w:rPr>
        <w:t>bis</w:t>
      </w:r>
      <w:r w:rsidRPr="00DF1C01">
        <w:rPr>
          <w:rFonts w:asciiTheme="majorHAnsi" w:hAnsiTheme="majorHAnsi" w:cstheme="majorHAnsi"/>
          <w:b/>
          <w:sz w:val="20"/>
          <w:szCs w:val="20"/>
        </w:rPr>
        <w:t xml:space="preserve"> c.p.c.</w:t>
      </w:r>
      <w:r w:rsidR="00975858">
        <w:rPr>
          <w:rFonts w:asciiTheme="majorHAnsi" w:hAnsiTheme="majorHAnsi" w:cstheme="majorHAnsi"/>
          <w:sz w:val="20"/>
          <w:szCs w:val="20"/>
        </w:rPr>
        <w:t xml:space="preserve"> “</w:t>
      </w:r>
      <w:r w:rsidRPr="00975858">
        <w:rPr>
          <w:rFonts w:asciiTheme="majorHAnsi" w:hAnsiTheme="majorHAnsi" w:cstheme="majorHAnsi"/>
          <w:iCs/>
          <w:sz w:val="20"/>
          <w:szCs w:val="20"/>
        </w:rPr>
        <w:t>Controversie in materia di licenziamento</w:t>
      </w:r>
      <w:r w:rsidR="00975858">
        <w:rPr>
          <w:rFonts w:asciiTheme="majorHAnsi" w:hAnsiTheme="majorHAnsi" w:cstheme="majorHAnsi"/>
          <w:iCs/>
          <w:sz w:val="20"/>
          <w:szCs w:val="20"/>
        </w:rPr>
        <w:t>”</w:t>
      </w:r>
      <w:r w:rsidR="00975858" w:rsidRPr="00975858">
        <w:rPr>
          <w:rFonts w:asciiTheme="majorHAnsi" w:hAnsiTheme="majorHAnsi" w:cstheme="majorHAnsi"/>
          <w:iCs/>
          <w:sz w:val="20"/>
          <w:szCs w:val="20"/>
        </w:rPr>
        <w:t>:</w:t>
      </w:r>
    </w:p>
    <w:p w:rsidR="00D328EC" w:rsidRPr="00DF1C01" w:rsidRDefault="00D328EC" w:rsidP="009B0221">
      <w:pPr>
        <w:pStyle w:val="comma"/>
        <w:spacing w:before="0" w:beforeAutospacing="0" w:after="0" w:afterAutospacing="0"/>
        <w:ind w:firstLine="425"/>
        <w:contextualSpacing/>
        <w:jc w:val="both"/>
        <w:rPr>
          <w:rFonts w:asciiTheme="majorHAnsi" w:hAnsiTheme="majorHAnsi" w:cstheme="majorHAnsi"/>
          <w:i/>
          <w:sz w:val="20"/>
          <w:szCs w:val="20"/>
        </w:rPr>
      </w:pPr>
      <w:r w:rsidRPr="00DF1C01">
        <w:rPr>
          <w:rFonts w:asciiTheme="majorHAnsi" w:hAnsiTheme="majorHAnsi" w:cstheme="majorHAnsi"/>
          <w:i/>
          <w:sz w:val="20"/>
          <w:szCs w:val="20"/>
        </w:rPr>
        <w:t>La trattazione e la decisione delle controversie aventi ad oggetto l</w:t>
      </w:r>
      <w:r w:rsidR="00975858">
        <w:rPr>
          <w:rFonts w:asciiTheme="majorHAnsi" w:hAnsiTheme="majorHAnsi" w:cstheme="majorHAnsi"/>
          <w:i/>
          <w:sz w:val="20"/>
          <w:szCs w:val="20"/>
        </w:rPr>
        <w:t>’</w:t>
      </w:r>
      <w:r w:rsidRPr="00DF1C01">
        <w:rPr>
          <w:rFonts w:asciiTheme="majorHAnsi" w:hAnsiTheme="majorHAnsi" w:cstheme="majorHAnsi"/>
          <w:i/>
          <w:sz w:val="20"/>
          <w:szCs w:val="20"/>
        </w:rPr>
        <w:t>impugnazione dei licenziamenti nelle quali è proposta domanda di reintegrazione nel posto di lavoro hanno carattere prioritario rispetto alle altre pendenti sul ruolo del giudice, anche quando devono essere risolte questioni relative alla qualificazione del rapporto.</w:t>
      </w:r>
    </w:p>
    <w:p w:rsidR="00D328EC" w:rsidRPr="00DF1C01" w:rsidRDefault="00D328EC" w:rsidP="009B0221">
      <w:pPr>
        <w:pStyle w:val="comma"/>
        <w:spacing w:before="0" w:beforeAutospacing="0" w:after="0" w:afterAutospacing="0"/>
        <w:ind w:firstLine="425"/>
        <w:contextualSpacing/>
        <w:jc w:val="both"/>
        <w:rPr>
          <w:rFonts w:asciiTheme="majorHAnsi" w:hAnsiTheme="majorHAnsi" w:cstheme="majorHAnsi"/>
          <w:i/>
          <w:sz w:val="20"/>
          <w:szCs w:val="20"/>
        </w:rPr>
      </w:pPr>
      <w:r w:rsidRPr="00DF1C01">
        <w:rPr>
          <w:rFonts w:asciiTheme="majorHAnsi" w:hAnsiTheme="majorHAnsi" w:cstheme="majorHAnsi"/>
          <w:i/>
          <w:sz w:val="20"/>
          <w:szCs w:val="20"/>
        </w:rPr>
        <w:t>Salvo quanto stabilito nel presente articolo, le controversie di cui al primo comma sono assoggettate alle norme del capo primo.</w:t>
      </w:r>
    </w:p>
    <w:p w:rsidR="00D328EC" w:rsidRPr="00DF1C01" w:rsidRDefault="00D328EC" w:rsidP="009B0221">
      <w:pPr>
        <w:pStyle w:val="comma"/>
        <w:spacing w:before="0" w:beforeAutospacing="0" w:after="0" w:afterAutospacing="0"/>
        <w:ind w:firstLine="425"/>
        <w:contextualSpacing/>
        <w:jc w:val="both"/>
        <w:rPr>
          <w:rFonts w:asciiTheme="majorHAnsi" w:hAnsiTheme="majorHAnsi" w:cstheme="majorHAnsi"/>
          <w:i/>
          <w:sz w:val="20"/>
          <w:szCs w:val="20"/>
        </w:rPr>
      </w:pPr>
      <w:r w:rsidRPr="00DF1C01">
        <w:rPr>
          <w:rFonts w:asciiTheme="majorHAnsi" w:hAnsiTheme="majorHAnsi" w:cstheme="majorHAnsi"/>
          <w:i/>
          <w:sz w:val="20"/>
          <w:szCs w:val="20"/>
        </w:rPr>
        <w:t>Tenuto conto delle circostanze esposte nel ricorso il giudice può ridurre i termini del procedimento fino alla metà, fermo restando che tra la data di notificazione al convenuto o al terzo chiamato e quella della udienza di discussione deve intercorrere un termine non minore di venti giorni e che, in tal caso, il termine per la costituzione del convenuto o del terzo chiamato è ridotto della metà.</w:t>
      </w:r>
    </w:p>
    <w:p w:rsidR="00D328EC" w:rsidRPr="00DF1C01" w:rsidRDefault="00D328EC" w:rsidP="009B0221">
      <w:pPr>
        <w:pStyle w:val="comma"/>
        <w:spacing w:before="0" w:beforeAutospacing="0" w:after="0" w:afterAutospacing="0"/>
        <w:ind w:firstLine="425"/>
        <w:contextualSpacing/>
        <w:jc w:val="both"/>
        <w:rPr>
          <w:rFonts w:asciiTheme="majorHAnsi" w:hAnsiTheme="majorHAnsi" w:cstheme="majorHAnsi"/>
          <w:i/>
          <w:sz w:val="20"/>
          <w:szCs w:val="20"/>
        </w:rPr>
      </w:pPr>
      <w:r w:rsidRPr="00DF1C01">
        <w:rPr>
          <w:rFonts w:asciiTheme="majorHAnsi" w:hAnsiTheme="majorHAnsi" w:cstheme="majorHAnsi"/>
          <w:i/>
          <w:sz w:val="20"/>
          <w:szCs w:val="20"/>
        </w:rPr>
        <w:t>All</w:t>
      </w:r>
      <w:r w:rsidR="00975858">
        <w:rPr>
          <w:rFonts w:asciiTheme="majorHAnsi" w:hAnsiTheme="majorHAnsi" w:cstheme="majorHAnsi"/>
          <w:i/>
          <w:sz w:val="20"/>
          <w:szCs w:val="20"/>
        </w:rPr>
        <w:t>’</w:t>
      </w:r>
      <w:r w:rsidRPr="00DF1C01">
        <w:rPr>
          <w:rFonts w:asciiTheme="majorHAnsi" w:hAnsiTheme="majorHAnsi" w:cstheme="majorHAnsi"/>
          <w:i/>
          <w:sz w:val="20"/>
          <w:szCs w:val="20"/>
        </w:rPr>
        <w:t>udienza di discussione il giudice dispone, in relazione alle esigenze di celerità anche prospettate dalle parti, la trattazione congiunta di eventuali domande connesse e riconvenzionali ovvero la loro separazione, assicurando in ogni caso la concentrazione della fase istruttoria e di quella decisoria in relazione alle domande di reintegrazione nel posto di lavoro. A tal fine il giudice riserva particolari giorni, anche ravvicinati, nel calendario delle udienze.</w:t>
      </w:r>
    </w:p>
    <w:p w:rsidR="00D328EC" w:rsidRPr="00DF1C01" w:rsidRDefault="00D328EC" w:rsidP="009B0221">
      <w:pPr>
        <w:pStyle w:val="comma"/>
        <w:spacing w:before="0" w:beforeAutospacing="0" w:after="0" w:afterAutospacing="0"/>
        <w:ind w:firstLine="425"/>
        <w:contextualSpacing/>
        <w:jc w:val="both"/>
        <w:rPr>
          <w:rFonts w:asciiTheme="majorHAnsi" w:hAnsiTheme="majorHAnsi" w:cstheme="majorHAnsi"/>
          <w:i/>
          <w:sz w:val="20"/>
          <w:szCs w:val="20"/>
        </w:rPr>
      </w:pPr>
      <w:r w:rsidRPr="00DF1C01">
        <w:rPr>
          <w:rFonts w:asciiTheme="majorHAnsi" w:hAnsiTheme="majorHAnsi" w:cstheme="majorHAnsi"/>
          <w:i/>
          <w:sz w:val="20"/>
          <w:szCs w:val="20"/>
        </w:rPr>
        <w:t>I giudizi di appello e di cassazione sono decisi tenendo conto delle medesime esigenze di celerità e di concentrazione</w:t>
      </w:r>
      <w:r w:rsidRPr="00DF1C01">
        <w:rPr>
          <w:rFonts w:asciiTheme="majorHAnsi" w:hAnsiTheme="majorHAnsi" w:cstheme="majorHAnsi"/>
          <w:sz w:val="20"/>
          <w:szCs w:val="20"/>
        </w:rPr>
        <w:t>.</w:t>
      </w:r>
    </w:p>
  </w:footnote>
  <w:footnote w:id="6">
    <w:p w:rsidR="00D328EC" w:rsidRPr="00DF1C01" w:rsidRDefault="00D328EC" w:rsidP="009B0221">
      <w:pPr>
        <w:pStyle w:val="Testonotaapidipagina"/>
        <w:ind w:firstLine="425"/>
        <w:jc w:val="both"/>
        <w:rPr>
          <w:rFonts w:asciiTheme="majorHAnsi" w:hAnsiTheme="majorHAnsi" w:cstheme="majorHAnsi"/>
          <w:b/>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Tale rito si struttura in due fasi: una prima fase sommaria con prevalente funzione esecutiva e una seconda fase eventuale di opposizione a cognizione piena.</w:t>
      </w:r>
    </w:p>
  </w:footnote>
  <w:footnote w:id="7">
    <w:p w:rsidR="00975858" w:rsidRPr="00975858" w:rsidRDefault="00D328EC" w:rsidP="009B0221">
      <w:pPr>
        <w:pStyle w:val="Testonotaapidipagina"/>
        <w:ind w:firstLine="425"/>
        <w:jc w:val="both"/>
        <w:rPr>
          <w:rFonts w:asciiTheme="majorHAnsi" w:hAnsiTheme="majorHAnsi" w:cstheme="majorHAnsi"/>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Pr="00DF1C01">
        <w:rPr>
          <w:rFonts w:asciiTheme="majorHAnsi" w:hAnsiTheme="majorHAnsi" w:cstheme="majorHAnsi"/>
          <w:b/>
        </w:rPr>
        <w:t>Art. 144</w:t>
      </w:r>
      <w:r w:rsidR="00975858">
        <w:rPr>
          <w:rFonts w:asciiTheme="majorHAnsi" w:hAnsiTheme="majorHAnsi" w:cstheme="majorHAnsi"/>
          <w:b/>
        </w:rPr>
        <w:t xml:space="preserve"> </w:t>
      </w:r>
      <w:r w:rsidRPr="00975858">
        <w:rPr>
          <w:rFonts w:asciiTheme="majorHAnsi" w:hAnsiTheme="majorHAnsi" w:cstheme="majorHAnsi"/>
          <w:b/>
          <w:i/>
          <w:iCs/>
        </w:rPr>
        <w:t>quinquies</w:t>
      </w:r>
      <w:r w:rsidRPr="00DF1C01">
        <w:rPr>
          <w:rFonts w:asciiTheme="majorHAnsi" w:hAnsiTheme="majorHAnsi" w:cstheme="majorHAnsi"/>
          <w:b/>
        </w:rPr>
        <w:t xml:space="preserve"> disp. att. c.p.c.</w:t>
      </w:r>
      <w:r w:rsidRPr="00DF1C01">
        <w:rPr>
          <w:rFonts w:asciiTheme="majorHAnsi" w:hAnsiTheme="majorHAnsi" w:cstheme="majorHAnsi"/>
        </w:rPr>
        <w:t xml:space="preserve"> </w:t>
      </w:r>
      <w:r w:rsidRPr="00975858">
        <w:rPr>
          <w:rFonts w:asciiTheme="majorHAnsi" w:hAnsiTheme="majorHAnsi" w:cstheme="majorHAnsi"/>
        </w:rPr>
        <w:t>“Controversie in materia di licenziamento</w:t>
      </w:r>
      <w:r w:rsidR="00975858">
        <w:rPr>
          <w:rFonts w:asciiTheme="majorHAnsi" w:hAnsiTheme="majorHAnsi" w:cstheme="majorHAnsi"/>
        </w:rPr>
        <w:t>”</w:t>
      </w:r>
      <w:r w:rsidR="00975858" w:rsidRPr="00975858">
        <w:rPr>
          <w:rFonts w:asciiTheme="majorHAnsi" w:hAnsiTheme="majorHAnsi" w:cstheme="majorHAnsi"/>
        </w:rPr>
        <w:t>:</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Il presidente di sezione e il dirigente dell</w:t>
      </w:r>
      <w:r w:rsidR="00975858">
        <w:rPr>
          <w:rFonts w:asciiTheme="majorHAnsi" w:hAnsiTheme="majorHAnsi" w:cstheme="majorHAnsi"/>
          <w:i/>
        </w:rPr>
        <w:t>’</w:t>
      </w:r>
      <w:r w:rsidRPr="00DF1C01">
        <w:rPr>
          <w:rFonts w:asciiTheme="majorHAnsi" w:hAnsiTheme="majorHAnsi" w:cstheme="majorHAnsi"/>
          <w:i/>
        </w:rPr>
        <w:t>ufficio giudiziario favoriscono e verificano la trattazione prioritaria dei procedimenti di cui al capo I-bis del titolo IV del libro secondo del codice. In ciascun ufficio giudiziario sono effettuate estrazioni statistiche trimestrali che consentono di valutare la durata media dei processi di cui all</w:t>
      </w:r>
      <w:r w:rsidR="00975858">
        <w:rPr>
          <w:rFonts w:asciiTheme="majorHAnsi" w:hAnsiTheme="majorHAnsi" w:cstheme="majorHAnsi"/>
          <w:i/>
        </w:rPr>
        <w:t>’</w:t>
      </w:r>
      <w:r w:rsidRPr="00DF1C01">
        <w:rPr>
          <w:rFonts w:asciiTheme="majorHAnsi" w:hAnsiTheme="majorHAnsi" w:cstheme="majorHAnsi"/>
          <w:i/>
        </w:rPr>
        <w:t>articolo 441 bis del codice, in confronto con la durata degli altri processi in materia di lavoro</w:t>
      </w:r>
      <w:r w:rsidRPr="00DF1C01">
        <w:rPr>
          <w:rFonts w:asciiTheme="majorHAnsi" w:hAnsiTheme="majorHAnsi" w:cstheme="majorHAnsi"/>
        </w:rPr>
        <w:t>.</w:t>
      </w:r>
    </w:p>
  </w:footnote>
  <w:footnote w:id="8">
    <w:p w:rsidR="00975858" w:rsidRPr="00975858" w:rsidRDefault="00D328EC" w:rsidP="009B0221">
      <w:pPr>
        <w:pStyle w:val="Testonotaapidipagina"/>
        <w:ind w:firstLine="425"/>
        <w:jc w:val="both"/>
        <w:rPr>
          <w:rFonts w:asciiTheme="majorHAnsi" w:hAnsiTheme="majorHAnsi" w:cstheme="majorHAnsi"/>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Pr="00DF1C01">
        <w:rPr>
          <w:rFonts w:asciiTheme="majorHAnsi" w:hAnsiTheme="majorHAnsi" w:cstheme="majorHAnsi"/>
          <w:b/>
        </w:rPr>
        <w:t>Art. 414 c.p.c.</w:t>
      </w:r>
      <w:r w:rsidRPr="00DF1C01">
        <w:rPr>
          <w:rFonts w:asciiTheme="majorHAnsi" w:hAnsiTheme="majorHAnsi" w:cstheme="majorHAnsi"/>
        </w:rPr>
        <w:t xml:space="preserve"> </w:t>
      </w:r>
      <w:r w:rsidRPr="00975858">
        <w:rPr>
          <w:rFonts w:asciiTheme="majorHAnsi" w:hAnsiTheme="majorHAnsi" w:cstheme="majorHAnsi"/>
        </w:rPr>
        <w:t>“Forma della domanda</w:t>
      </w:r>
      <w:r w:rsidR="00975858" w:rsidRPr="00975858">
        <w:rPr>
          <w:rFonts w:asciiTheme="majorHAnsi" w:hAnsiTheme="majorHAnsi" w:cstheme="majorHAnsi"/>
        </w:rPr>
        <w:t>”:</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La domanda si propone con ricorso, il quale deve contenere:</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1) l'indicazione del giudice;</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2) il nome, il cognome, nonché la residenza o il domicilio eletto del ricorrente nel comune in cui ha sede il giudice adito, il nome, il cognome e la residenza o il domicilio o la dimora del convenuto; se ricorrente o convenuto è una persona giuridica, un</w:t>
      </w:r>
      <w:r w:rsidR="00975858">
        <w:rPr>
          <w:rFonts w:asciiTheme="majorHAnsi" w:hAnsiTheme="majorHAnsi" w:cstheme="majorHAnsi"/>
          <w:i/>
        </w:rPr>
        <w:t>’</w:t>
      </w:r>
      <w:r w:rsidRPr="00DF1C01">
        <w:rPr>
          <w:rFonts w:asciiTheme="majorHAnsi" w:hAnsiTheme="majorHAnsi" w:cstheme="majorHAnsi"/>
          <w:i/>
        </w:rPr>
        <w:t>associazione non riconosciuta o un comitato, il ricorso deve indicare la denominazione o ditta nonché la sede del ricorrente o del convenuto;</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3) la determinazione dell</w:t>
      </w:r>
      <w:r w:rsidR="00975858">
        <w:rPr>
          <w:rFonts w:asciiTheme="majorHAnsi" w:hAnsiTheme="majorHAnsi" w:cstheme="majorHAnsi"/>
          <w:i/>
        </w:rPr>
        <w:t>’</w:t>
      </w:r>
      <w:r w:rsidRPr="00DF1C01">
        <w:rPr>
          <w:rFonts w:asciiTheme="majorHAnsi" w:hAnsiTheme="majorHAnsi" w:cstheme="majorHAnsi"/>
          <w:i/>
        </w:rPr>
        <w:t>oggetto della domanda;</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4) l</w:t>
      </w:r>
      <w:r w:rsidR="00975858">
        <w:rPr>
          <w:rFonts w:asciiTheme="majorHAnsi" w:hAnsiTheme="majorHAnsi" w:cstheme="majorHAnsi"/>
          <w:i/>
        </w:rPr>
        <w:t>’</w:t>
      </w:r>
      <w:r w:rsidRPr="00DF1C01">
        <w:rPr>
          <w:rFonts w:asciiTheme="majorHAnsi" w:hAnsiTheme="majorHAnsi" w:cstheme="majorHAnsi"/>
          <w:i/>
        </w:rPr>
        <w:t>esposizione dei fatti e degli elementi di diritto sui quali si fonda la domanda con le relative conclusioni;</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5) l</w:t>
      </w:r>
      <w:r w:rsidR="00975858">
        <w:rPr>
          <w:rFonts w:asciiTheme="majorHAnsi" w:hAnsiTheme="majorHAnsi" w:cstheme="majorHAnsi"/>
          <w:i/>
        </w:rPr>
        <w:t>’i</w:t>
      </w:r>
      <w:r w:rsidRPr="00DF1C01">
        <w:rPr>
          <w:rFonts w:asciiTheme="majorHAnsi" w:hAnsiTheme="majorHAnsi" w:cstheme="majorHAnsi"/>
          <w:i/>
        </w:rPr>
        <w:t>ndicazione specifica dei mezzi di prova di cui il ricorrente intende avvalersi e in particolare dei documenti che si offrono in comunicazione.</w:t>
      </w:r>
    </w:p>
  </w:footnote>
  <w:footnote w:id="9">
    <w:p w:rsidR="00975858" w:rsidRPr="00975858" w:rsidRDefault="00D328EC" w:rsidP="009B0221">
      <w:pPr>
        <w:pStyle w:val="Testonotaapidipagina"/>
        <w:ind w:firstLine="425"/>
        <w:jc w:val="both"/>
        <w:rPr>
          <w:rFonts w:asciiTheme="majorHAnsi" w:hAnsiTheme="majorHAnsi" w:cstheme="majorHAnsi"/>
        </w:rPr>
      </w:pPr>
      <w:r w:rsidRPr="00975858">
        <w:rPr>
          <w:rStyle w:val="Rimandonotaapidipagina"/>
          <w:rFonts w:asciiTheme="majorHAnsi" w:hAnsiTheme="majorHAnsi" w:cstheme="majorHAnsi"/>
        </w:rPr>
        <w:footnoteRef/>
      </w:r>
      <w:r w:rsidRPr="00975858">
        <w:rPr>
          <w:rFonts w:asciiTheme="majorHAnsi" w:hAnsiTheme="majorHAnsi" w:cstheme="majorHAnsi"/>
        </w:rPr>
        <w:t xml:space="preserve"> </w:t>
      </w:r>
      <w:r w:rsidRPr="00975858">
        <w:rPr>
          <w:rFonts w:asciiTheme="majorHAnsi" w:hAnsiTheme="majorHAnsi" w:cstheme="majorHAnsi"/>
          <w:b/>
        </w:rPr>
        <w:t>Art. 415 c.p.c.</w:t>
      </w:r>
      <w:r w:rsidRPr="00975858">
        <w:rPr>
          <w:rFonts w:asciiTheme="majorHAnsi" w:hAnsiTheme="majorHAnsi" w:cstheme="majorHAnsi"/>
        </w:rPr>
        <w:t xml:space="preserve"> “Deposito del ricorso e decreto di fissazione dell'udienza</w:t>
      </w:r>
      <w:r w:rsidR="00975858">
        <w:rPr>
          <w:rFonts w:asciiTheme="majorHAnsi" w:hAnsiTheme="majorHAnsi" w:cstheme="majorHAnsi"/>
        </w:rPr>
        <w:t>”</w:t>
      </w:r>
      <w:r w:rsidR="00184646">
        <w:rPr>
          <w:rFonts w:asciiTheme="majorHAnsi" w:hAnsiTheme="majorHAnsi" w:cstheme="majorHAnsi"/>
        </w:rPr>
        <w:t>:</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Il ricorso è depositato nella cancelleria del giudice competente insieme con i documenti in esso indicati.</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Il giudice, entro cinque giorni dal deposito del ricorso, fissa, con decreto, l</w:t>
      </w:r>
      <w:r w:rsidR="00975858">
        <w:rPr>
          <w:rFonts w:asciiTheme="majorHAnsi" w:hAnsiTheme="majorHAnsi" w:cstheme="majorHAnsi"/>
          <w:i/>
        </w:rPr>
        <w:t>’</w:t>
      </w:r>
      <w:r w:rsidRPr="00DF1C01">
        <w:rPr>
          <w:rFonts w:asciiTheme="majorHAnsi" w:hAnsiTheme="majorHAnsi" w:cstheme="majorHAnsi"/>
          <w:i/>
        </w:rPr>
        <w:t>udienza di discussione, alla quale le parti sono tenute a comparire personalmente.</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Tra il giorno del deposito del ricorso e l</w:t>
      </w:r>
      <w:r w:rsidR="00975858">
        <w:rPr>
          <w:rFonts w:asciiTheme="majorHAnsi" w:hAnsiTheme="majorHAnsi" w:cstheme="majorHAnsi"/>
          <w:i/>
        </w:rPr>
        <w:t>’</w:t>
      </w:r>
      <w:r w:rsidRPr="00DF1C01">
        <w:rPr>
          <w:rFonts w:asciiTheme="majorHAnsi" w:hAnsiTheme="majorHAnsi" w:cstheme="majorHAnsi"/>
          <w:i/>
        </w:rPr>
        <w:t>udienza di discussione non devono decorrere più di sessanta giorni.</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Il ricorso, unitamente al decreto di fissazione dell</w:t>
      </w:r>
      <w:r w:rsidR="00975858">
        <w:rPr>
          <w:rFonts w:asciiTheme="majorHAnsi" w:hAnsiTheme="majorHAnsi" w:cstheme="majorHAnsi"/>
          <w:i/>
        </w:rPr>
        <w:t>’</w:t>
      </w:r>
      <w:r w:rsidRPr="00DF1C01">
        <w:rPr>
          <w:rFonts w:asciiTheme="majorHAnsi" w:hAnsiTheme="majorHAnsi" w:cstheme="majorHAnsi"/>
          <w:i/>
        </w:rPr>
        <w:t>udienza, deve essere notificato al convenuto, a cura dell</w:t>
      </w:r>
      <w:r w:rsidR="00975858">
        <w:rPr>
          <w:rFonts w:asciiTheme="majorHAnsi" w:hAnsiTheme="majorHAnsi" w:cstheme="majorHAnsi"/>
          <w:i/>
        </w:rPr>
        <w:t>’</w:t>
      </w:r>
      <w:r w:rsidRPr="00DF1C01">
        <w:rPr>
          <w:rFonts w:asciiTheme="majorHAnsi" w:hAnsiTheme="majorHAnsi" w:cstheme="majorHAnsi"/>
          <w:i/>
        </w:rPr>
        <w:t>attore, entro dieci giorni dalla data di pronuncia del decreto, salvo quanto disposto dall</w:t>
      </w:r>
      <w:r w:rsidR="00975858">
        <w:rPr>
          <w:rFonts w:asciiTheme="majorHAnsi" w:hAnsiTheme="majorHAnsi" w:cstheme="majorHAnsi"/>
          <w:i/>
        </w:rPr>
        <w:t>’</w:t>
      </w:r>
      <w:r w:rsidRPr="00DF1C01">
        <w:rPr>
          <w:rFonts w:asciiTheme="majorHAnsi" w:hAnsiTheme="majorHAnsi" w:cstheme="majorHAnsi"/>
          <w:i/>
        </w:rPr>
        <w:t>articolo 417.</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Tra la data di notificazione al convenuto e quella dell</w:t>
      </w:r>
      <w:r w:rsidR="00975858">
        <w:rPr>
          <w:rFonts w:asciiTheme="majorHAnsi" w:hAnsiTheme="majorHAnsi" w:cstheme="majorHAnsi"/>
          <w:i/>
        </w:rPr>
        <w:t>’</w:t>
      </w:r>
      <w:r w:rsidRPr="00DF1C01">
        <w:rPr>
          <w:rFonts w:asciiTheme="majorHAnsi" w:hAnsiTheme="majorHAnsi" w:cstheme="majorHAnsi"/>
          <w:i/>
        </w:rPr>
        <w:t>udienza di discussione deve intercorrere un termine non minore di trenta giorni.</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Il termine di cui al comma precedente è elevato a quaranta giorni e quello di cui al terzo comma è elevato a ottanta giorni nel caso in cui la notificazione prevista dal quarto comma debba effettuarsi all</w:t>
      </w:r>
      <w:r w:rsidR="00975858">
        <w:rPr>
          <w:rFonts w:asciiTheme="majorHAnsi" w:hAnsiTheme="majorHAnsi" w:cstheme="majorHAnsi"/>
          <w:i/>
        </w:rPr>
        <w:t>’</w:t>
      </w:r>
      <w:r w:rsidRPr="00DF1C01">
        <w:rPr>
          <w:rFonts w:asciiTheme="majorHAnsi" w:hAnsiTheme="majorHAnsi" w:cstheme="majorHAnsi"/>
          <w:i/>
        </w:rPr>
        <w:t>estero.</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Nelle controversie relative ai rapporti di lavoro dei dipendenti delle pubbliche amministrazioni di cui al quinto comma dell'articolo 413, il ricorso è notificato direttamente presso l</w:t>
      </w:r>
      <w:r w:rsidR="00975858">
        <w:rPr>
          <w:rFonts w:asciiTheme="majorHAnsi" w:hAnsiTheme="majorHAnsi" w:cstheme="majorHAnsi"/>
          <w:i/>
        </w:rPr>
        <w:t>’</w:t>
      </w:r>
      <w:r w:rsidRPr="00DF1C01">
        <w:rPr>
          <w:rFonts w:asciiTheme="majorHAnsi" w:hAnsiTheme="majorHAnsi" w:cstheme="majorHAnsi"/>
          <w:i/>
        </w:rPr>
        <w:t>amministrazione destinataria ai sensi dell</w:t>
      </w:r>
      <w:r w:rsidR="00975858">
        <w:rPr>
          <w:rFonts w:asciiTheme="majorHAnsi" w:hAnsiTheme="majorHAnsi" w:cstheme="majorHAnsi"/>
          <w:i/>
        </w:rPr>
        <w:t>’</w:t>
      </w:r>
      <w:r w:rsidRPr="00DF1C01">
        <w:rPr>
          <w:rFonts w:asciiTheme="majorHAnsi" w:hAnsiTheme="majorHAnsi" w:cstheme="majorHAnsi"/>
          <w:i/>
        </w:rPr>
        <w:t>articolo 144, secondo comma. Per le amministrazioni statali o ad esse equiparate, ai fini della rappresentanza e difesa in giudizio, si osservano le disposizioni delle leggi speciali che prescrivono la notificazione presso gli uffici dell</w:t>
      </w:r>
      <w:r w:rsidR="00975858">
        <w:rPr>
          <w:rFonts w:asciiTheme="majorHAnsi" w:hAnsiTheme="majorHAnsi" w:cstheme="majorHAnsi"/>
          <w:i/>
        </w:rPr>
        <w:t>’</w:t>
      </w:r>
      <w:r w:rsidRPr="00DF1C01">
        <w:rPr>
          <w:rFonts w:asciiTheme="majorHAnsi" w:hAnsiTheme="majorHAnsi" w:cstheme="majorHAnsi"/>
          <w:i/>
        </w:rPr>
        <w:t>Avvocatura dello Stato competente per territorio.</w:t>
      </w:r>
    </w:p>
  </w:footnote>
  <w:footnote w:id="10">
    <w:p w:rsidR="00975858" w:rsidRPr="00975858" w:rsidRDefault="00D328EC" w:rsidP="009B0221">
      <w:pPr>
        <w:pStyle w:val="Testonotaapidipagina"/>
        <w:ind w:firstLine="425"/>
        <w:jc w:val="both"/>
        <w:rPr>
          <w:rFonts w:asciiTheme="majorHAnsi" w:hAnsiTheme="majorHAnsi" w:cstheme="majorHAnsi"/>
        </w:rPr>
      </w:pPr>
      <w:r w:rsidRPr="00975858">
        <w:rPr>
          <w:rStyle w:val="Rimandonotaapidipagina"/>
          <w:rFonts w:asciiTheme="majorHAnsi" w:hAnsiTheme="majorHAnsi" w:cstheme="majorHAnsi"/>
        </w:rPr>
        <w:footnoteRef/>
      </w:r>
      <w:r w:rsidRPr="00975858">
        <w:rPr>
          <w:rFonts w:asciiTheme="majorHAnsi" w:hAnsiTheme="majorHAnsi" w:cstheme="majorHAnsi"/>
        </w:rPr>
        <w:t xml:space="preserve"> </w:t>
      </w:r>
      <w:r w:rsidRPr="00975858">
        <w:rPr>
          <w:rFonts w:asciiTheme="majorHAnsi" w:hAnsiTheme="majorHAnsi" w:cstheme="majorHAnsi"/>
          <w:b/>
        </w:rPr>
        <w:t>Art. 416 c.p.c.</w:t>
      </w:r>
      <w:r w:rsidRPr="00975858">
        <w:rPr>
          <w:rFonts w:asciiTheme="majorHAnsi" w:hAnsiTheme="majorHAnsi" w:cstheme="majorHAnsi"/>
        </w:rPr>
        <w:t xml:space="preserve"> “Costituzione del convenuto</w:t>
      </w:r>
      <w:r w:rsidR="00975858" w:rsidRPr="00975858">
        <w:rPr>
          <w:rFonts w:asciiTheme="majorHAnsi" w:hAnsiTheme="majorHAnsi" w:cstheme="majorHAnsi"/>
        </w:rPr>
        <w:t>”:</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Il convenuto deve costituirsi almeno dieci giorni prima della udienza, dichiarando la residenza o eleggendo domicilio nel comune in cui ha sede il giudice adito.</w:t>
      </w:r>
    </w:p>
    <w:p w:rsidR="00D328EC" w:rsidRPr="00DF1C01"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La costituzione del convenuto si effettua mediante deposito in cancelleria di una memoria difensiva, nella quale devono essere proposte, a pena di decadenza, le eventuali domande in via riconvenzionale e le eccezioni processuali e di merito che non siano rilevabili d</w:t>
      </w:r>
      <w:r w:rsidR="00975858">
        <w:rPr>
          <w:rFonts w:asciiTheme="majorHAnsi" w:hAnsiTheme="majorHAnsi" w:cstheme="majorHAnsi"/>
          <w:i/>
        </w:rPr>
        <w:t>’</w:t>
      </w:r>
      <w:r w:rsidRPr="00DF1C01">
        <w:rPr>
          <w:rFonts w:asciiTheme="majorHAnsi" w:hAnsiTheme="majorHAnsi" w:cstheme="majorHAnsi"/>
          <w:i/>
        </w:rPr>
        <w:t>ufficio.</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Nella stessa memoria il convenuto deve prendere posizione, in maniera precisa e non limitata ad una generica contestazione, circa i fatti affermati dall</w:t>
      </w:r>
      <w:r w:rsidR="00975858">
        <w:rPr>
          <w:rFonts w:asciiTheme="majorHAnsi" w:hAnsiTheme="majorHAnsi" w:cstheme="majorHAnsi"/>
          <w:i/>
        </w:rPr>
        <w:t>’</w:t>
      </w:r>
      <w:r w:rsidRPr="00DF1C01">
        <w:rPr>
          <w:rFonts w:asciiTheme="majorHAnsi" w:hAnsiTheme="majorHAnsi" w:cstheme="majorHAnsi"/>
          <w:i/>
        </w:rPr>
        <w:t>attore a fondamento della domanda, proporre tutte le sue difese in fatto e in diritto ed indicare specificamente, a pena di decadenza, i mezzi di prova dei quali intende avvalersi ed in particolare i documenti che deve contestualmente depositare.</w:t>
      </w:r>
    </w:p>
  </w:footnote>
  <w:footnote w:id="11">
    <w:p w:rsidR="004115CD" w:rsidRPr="004115CD" w:rsidRDefault="004115CD" w:rsidP="009B0221">
      <w:pPr>
        <w:pStyle w:val="Testonotaapidipagina"/>
        <w:ind w:firstLine="425"/>
        <w:jc w:val="both"/>
      </w:pPr>
      <w:r>
        <w:rPr>
          <w:rStyle w:val="Rimandonotaapidipagina"/>
        </w:rPr>
        <w:footnoteRef/>
      </w:r>
      <w:r>
        <w:t xml:space="preserve"> </w:t>
      </w:r>
      <w:r w:rsidRPr="004115CD">
        <w:t>Gli artt. 167, primo comma, e 416, terzo comma, imponendo al convenuto l</w:t>
      </w:r>
      <w:r w:rsidR="009B0221">
        <w:t>’</w:t>
      </w:r>
      <w:r w:rsidRPr="004115CD">
        <w:t>onere di prendere posizione su tali fatti, fanno della non contestazione un comportamento univocamente rilevante ai fini della determinazione dell'oggetto del giudizio, con effetti vincolanti per il giudice, che dovrà astenersi da qualsivoglia controllo probatorio del fatto non contestato e dovrà ritenerlo sussistente, proprio per la ragione che l'atteggiamento difensivo delle parti, valutato alla stregua dell'esposta regola di condotta processuale, espunge il fatto stesso dall'ambito degli accertamenti richiesti. In altri termini, la mancata contestazione, a fronte di un onere esplicitamente imposto dal dettato legislativo, rappresenta, in positivo e di per sé, l</w:t>
      </w:r>
      <w:r w:rsidR="009B0221">
        <w:t>’</w:t>
      </w:r>
      <w:r w:rsidRPr="004115CD">
        <w:t>adozione di una linea difensiva incompatibile con la negazione del fatto (…) e, quindi, rende inutile provarlo, perché non controverso (v. Cass. Civ. Sez. Un. 23/01/2002 n. 761</w:t>
      </w:r>
      <w:r w:rsidR="005F6BFB">
        <w:t xml:space="preserve"> e oggi l’art. 115 </w:t>
      </w:r>
      <w:proofErr w:type="spellStart"/>
      <w:r w:rsidR="005F6BFB">
        <w:t>c.p.c.</w:t>
      </w:r>
      <w:proofErr w:type="spellEnd"/>
      <w:r w:rsidRPr="004115CD">
        <w:t>).</w:t>
      </w:r>
    </w:p>
  </w:footnote>
  <w:footnote w:id="12">
    <w:p w:rsidR="00975858" w:rsidRDefault="00D328EC" w:rsidP="009B0221">
      <w:pPr>
        <w:pStyle w:val="Testonotaapidipagina"/>
        <w:ind w:firstLine="425"/>
        <w:jc w:val="both"/>
        <w:rPr>
          <w:rFonts w:asciiTheme="majorHAnsi" w:hAnsiTheme="majorHAnsi" w:cstheme="majorHAnsi"/>
          <w:iCs/>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Pr="00DF1C01">
        <w:rPr>
          <w:rFonts w:asciiTheme="majorHAnsi" w:hAnsiTheme="majorHAnsi" w:cstheme="majorHAnsi"/>
          <w:b/>
        </w:rPr>
        <w:t>Art. 441</w:t>
      </w:r>
      <w:r w:rsidR="00975858">
        <w:rPr>
          <w:rFonts w:asciiTheme="majorHAnsi" w:hAnsiTheme="majorHAnsi" w:cstheme="majorHAnsi"/>
          <w:b/>
        </w:rPr>
        <w:t xml:space="preserve"> </w:t>
      </w:r>
      <w:r w:rsidRPr="00975858">
        <w:rPr>
          <w:rFonts w:asciiTheme="majorHAnsi" w:hAnsiTheme="majorHAnsi" w:cstheme="majorHAnsi"/>
          <w:b/>
          <w:i/>
          <w:iCs/>
        </w:rPr>
        <w:t>bis</w:t>
      </w:r>
      <w:r w:rsidRPr="00DF1C01">
        <w:rPr>
          <w:rFonts w:asciiTheme="majorHAnsi" w:hAnsiTheme="majorHAnsi" w:cstheme="majorHAnsi"/>
          <w:b/>
        </w:rPr>
        <w:t>, co</w:t>
      </w:r>
      <w:r w:rsidR="00975858">
        <w:rPr>
          <w:rFonts w:asciiTheme="majorHAnsi" w:hAnsiTheme="majorHAnsi" w:cstheme="majorHAnsi"/>
          <w:b/>
        </w:rPr>
        <w:t>.</w:t>
      </w:r>
      <w:r w:rsidRPr="00DF1C01">
        <w:rPr>
          <w:rFonts w:asciiTheme="majorHAnsi" w:hAnsiTheme="majorHAnsi" w:cstheme="majorHAnsi"/>
          <w:b/>
        </w:rPr>
        <w:t xml:space="preserve"> 3, c.p.c.</w:t>
      </w:r>
      <w:r w:rsidR="00975858">
        <w:rPr>
          <w:rFonts w:asciiTheme="majorHAnsi" w:hAnsiTheme="majorHAnsi" w:cstheme="majorHAnsi"/>
          <w:b/>
        </w:rPr>
        <w:t xml:space="preserve"> </w:t>
      </w:r>
      <w:r w:rsidR="00975858">
        <w:rPr>
          <w:rFonts w:asciiTheme="majorHAnsi" w:hAnsiTheme="majorHAnsi" w:cstheme="majorHAnsi"/>
        </w:rPr>
        <w:t>“</w:t>
      </w:r>
      <w:r w:rsidR="00975858" w:rsidRPr="00975858">
        <w:rPr>
          <w:rFonts w:asciiTheme="majorHAnsi" w:hAnsiTheme="majorHAnsi" w:cstheme="majorHAnsi"/>
          <w:iCs/>
        </w:rPr>
        <w:t>Controversie in materia di licenziamento</w:t>
      </w:r>
      <w:r w:rsidR="00975858">
        <w:rPr>
          <w:rFonts w:asciiTheme="majorHAnsi" w:hAnsiTheme="majorHAnsi" w:cstheme="majorHAnsi"/>
          <w:iCs/>
        </w:rPr>
        <w:t>”</w:t>
      </w:r>
      <w:r w:rsidR="00975858" w:rsidRPr="00975858">
        <w:rPr>
          <w:rFonts w:asciiTheme="majorHAnsi" w:hAnsiTheme="majorHAnsi" w:cstheme="majorHAnsi"/>
          <w:iCs/>
        </w:rPr>
        <w:t>:</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Tenuto conto delle circostanze esposte nel ricorso il giudice può ridurre i termini del procedimento fino alla metà, fermo restando che tra la data di notificazione al convenuto o al terzo chiamato e quella della udienza di discussione deve intercorrere un termine non minore di venti giorni e che, in tal caso, il termine per la costituzione del convenuto o del terzo chiamato è ridotto della metà.</w:t>
      </w:r>
    </w:p>
  </w:footnote>
  <w:footnote w:id="13">
    <w:p w:rsidR="00975858" w:rsidRPr="00975858" w:rsidRDefault="00D328EC" w:rsidP="009B0221">
      <w:pPr>
        <w:pStyle w:val="Testonotaapidipagina"/>
        <w:ind w:firstLine="425"/>
        <w:jc w:val="both"/>
        <w:rPr>
          <w:rFonts w:asciiTheme="majorHAnsi" w:hAnsiTheme="majorHAnsi" w:cstheme="majorHAnsi"/>
        </w:rPr>
      </w:pPr>
      <w:r w:rsidRPr="00975858">
        <w:rPr>
          <w:rStyle w:val="Rimandonotaapidipagina"/>
          <w:rFonts w:asciiTheme="majorHAnsi" w:hAnsiTheme="majorHAnsi" w:cstheme="majorHAnsi"/>
        </w:rPr>
        <w:footnoteRef/>
      </w:r>
      <w:r w:rsidRPr="00975858">
        <w:rPr>
          <w:rFonts w:asciiTheme="majorHAnsi" w:hAnsiTheme="majorHAnsi" w:cstheme="majorHAnsi"/>
        </w:rPr>
        <w:t xml:space="preserve"> </w:t>
      </w:r>
      <w:r w:rsidRPr="00975858">
        <w:rPr>
          <w:rFonts w:asciiTheme="majorHAnsi" w:hAnsiTheme="majorHAnsi" w:cstheme="majorHAnsi"/>
          <w:b/>
        </w:rPr>
        <w:t>Art. 700 c.p.c.</w:t>
      </w:r>
      <w:r w:rsidRPr="00975858">
        <w:rPr>
          <w:rFonts w:asciiTheme="majorHAnsi" w:hAnsiTheme="majorHAnsi" w:cstheme="majorHAnsi"/>
        </w:rPr>
        <w:t xml:space="preserve"> “Condizioni per la concession</w:t>
      </w:r>
      <w:r w:rsidR="00975858" w:rsidRPr="00975858">
        <w:rPr>
          <w:rFonts w:asciiTheme="majorHAnsi" w:hAnsiTheme="majorHAnsi" w:cstheme="majorHAnsi"/>
        </w:rPr>
        <w:t>e”:</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Fuori dei casi regolati nelle precedenti sezioni di questo capo, chi ha fondato motivo di temere che durante il tempo occorrente per far valere il suo diritto in via ordinaria, questo sia minacciato da un pregiudizio imminente e irreparabile, può chiedere con ricorso al giudice i provvedimenti d</w:t>
      </w:r>
      <w:r w:rsidR="008A6FBC">
        <w:rPr>
          <w:rFonts w:asciiTheme="majorHAnsi" w:hAnsiTheme="majorHAnsi" w:cstheme="majorHAnsi"/>
          <w:i/>
        </w:rPr>
        <w:t>’</w:t>
      </w:r>
      <w:r w:rsidRPr="00DF1C01">
        <w:rPr>
          <w:rFonts w:asciiTheme="majorHAnsi" w:hAnsiTheme="majorHAnsi" w:cstheme="majorHAnsi"/>
          <w:i/>
        </w:rPr>
        <w:t>urgenza, che appaiono, secondo le circostanze, più idonei ad assicurare provvisoriamente gli effetti della decisione sul merito”.</w:t>
      </w:r>
    </w:p>
  </w:footnote>
  <w:footnote w:id="14">
    <w:p w:rsidR="00D328EC" w:rsidRPr="00DF1C01" w:rsidRDefault="00D328EC" w:rsidP="009B0221">
      <w:pPr>
        <w:pStyle w:val="Testonotaapidipagina"/>
        <w:ind w:firstLine="425"/>
        <w:jc w:val="both"/>
        <w:rPr>
          <w:rFonts w:asciiTheme="majorHAnsi" w:hAnsiTheme="majorHAnsi" w:cstheme="majorHAnsi"/>
        </w:rPr>
      </w:pPr>
      <w:r w:rsidRPr="008A6FBC">
        <w:rPr>
          <w:rStyle w:val="Rimandonotaapidipagina"/>
          <w:rFonts w:asciiTheme="majorHAnsi" w:hAnsiTheme="majorHAnsi" w:cstheme="majorHAnsi"/>
        </w:rPr>
        <w:footnoteRef/>
      </w:r>
      <w:r w:rsidRPr="008A6FBC">
        <w:rPr>
          <w:rFonts w:asciiTheme="majorHAnsi" w:hAnsiTheme="majorHAnsi" w:cstheme="majorHAnsi"/>
        </w:rPr>
        <w:t xml:space="preserve"> V. pag. 47 della Relazione illustrativa al decreto legislativo 10 ottobre 2022, n. 149</w:t>
      </w:r>
      <w:r w:rsidR="008A6FBC" w:rsidRPr="008A6FBC">
        <w:rPr>
          <w:rFonts w:asciiTheme="majorHAnsi" w:hAnsiTheme="majorHAnsi" w:cstheme="majorHAnsi"/>
        </w:rPr>
        <w:t>,</w:t>
      </w:r>
      <w:r w:rsidRPr="008A6FBC">
        <w:rPr>
          <w:rFonts w:asciiTheme="majorHAnsi" w:hAnsiTheme="majorHAnsi" w:cstheme="majorHAnsi"/>
        </w:rPr>
        <w:t xml:space="preserve"> </w:t>
      </w:r>
      <w:r w:rsidR="008A6FBC" w:rsidRPr="008A6FBC">
        <w:rPr>
          <w:rFonts w:asciiTheme="majorHAnsi" w:hAnsiTheme="majorHAnsi" w:cstheme="majorHAnsi"/>
        </w:rPr>
        <w:t>“</w:t>
      </w:r>
      <w:r w:rsidRPr="008A6FBC">
        <w:rPr>
          <w:rFonts w:asciiTheme="majorHAnsi" w:hAnsiTheme="majorHAnsi" w:cstheme="majorHAnsi"/>
          <w:i/>
        </w:rPr>
        <w:t>Attuazione della legge 26 novembre 2021, n. 206, recante delega al Governo per l</w:t>
      </w:r>
      <w:r w:rsidR="00975858" w:rsidRPr="008A6FBC">
        <w:rPr>
          <w:rFonts w:asciiTheme="majorHAnsi" w:hAnsiTheme="majorHAnsi" w:cstheme="majorHAnsi"/>
          <w:i/>
        </w:rPr>
        <w:t>’</w:t>
      </w:r>
      <w:r w:rsidRPr="008A6FBC">
        <w:rPr>
          <w:rFonts w:asciiTheme="majorHAnsi" w:hAnsiTheme="majorHAnsi" w:cstheme="majorHAnsi"/>
          <w:i/>
        </w:rPr>
        <w:t>efficienza del processo civile e per la revisione della disciplina degli strumenti di risoluzione alternativa delle controversie e misure urgenti di razionalizzazione dei procedimenti in materia di diritti delle persone e delle famiglie nonch</w:t>
      </w:r>
      <w:r w:rsidR="00975858" w:rsidRPr="008A6FBC">
        <w:rPr>
          <w:rFonts w:asciiTheme="majorHAnsi" w:hAnsiTheme="majorHAnsi" w:cstheme="majorHAnsi"/>
          <w:i/>
        </w:rPr>
        <w:t>é</w:t>
      </w:r>
      <w:r w:rsidRPr="008A6FBC">
        <w:rPr>
          <w:rFonts w:asciiTheme="majorHAnsi" w:hAnsiTheme="majorHAnsi" w:cstheme="majorHAnsi"/>
          <w:i/>
        </w:rPr>
        <w:t xml:space="preserve"> in materia di esecuzione forzata</w:t>
      </w:r>
      <w:r w:rsidR="008A6FBC" w:rsidRPr="008A6FBC">
        <w:rPr>
          <w:rFonts w:asciiTheme="majorHAnsi" w:hAnsiTheme="majorHAnsi" w:cstheme="majorHAnsi"/>
        </w:rPr>
        <w:t>”</w:t>
      </w:r>
      <w:r w:rsidRPr="008A6FBC">
        <w:rPr>
          <w:rFonts w:asciiTheme="majorHAnsi" w:hAnsiTheme="majorHAnsi" w:cstheme="majorHAnsi"/>
        </w:rPr>
        <w:t xml:space="preserve"> in G.U. Serie Generale n.245 del 19-10-2022, Suppl. Straordinario n. 5.</w:t>
      </w:r>
    </w:p>
  </w:footnote>
  <w:footnote w:id="15">
    <w:p w:rsidR="00975858" w:rsidRDefault="00D328EC" w:rsidP="009B0221">
      <w:pPr>
        <w:pStyle w:val="Testonotaapidipagina"/>
        <w:ind w:firstLine="425"/>
        <w:jc w:val="both"/>
        <w:rPr>
          <w:rFonts w:asciiTheme="majorHAnsi" w:hAnsiTheme="majorHAnsi" w:cstheme="majorHAnsi"/>
          <w:iCs/>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Pr="00DF1C01">
        <w:rPr>
          <w:rFonts w:asciiTheme="majorHAnsi" w:hAnsiTheme="majorHAnsi" w:cstheme="majorHAnsi"/>
          <w:b/>
        </w:rPr>
        <w:t>Art. 441</w:t>
      </w:r>
      <w:r w:rsidR="00975858">
        <w:rPr>
          <w:rFonts w:asciiTheme="majorHAnsi" w:hAnsiTheme="majorHAnsi" w:cstheme="majorHAnsi"/>
          <w:b/>
        </w:rPr>
        <w:t xml:space="preserve"> </w:t>
      </w:r>
      <w:r w:rsidRPr="00975858">
        <w:rPr>
          <w:rFonts w:asciiTheme="majorHAnsi" w:hAnsiTheme="majorHAnsi" w:cstheme="majorHAnsi"/>
          <w:b/>
          <w:i/>
          <w:iCs/>
        </w:rPr>
        <w:t>bis</w:t>
      </w:r>
      <w:r w:rsidRPr="00DF1C01">
        <w:rPr>
          <w:rFonts w:asciiTheme="majorHAnsi" w:hAnsiTheme="majorHAnsi" w:cstheme="majorHAnsi"/>
          <w:b/>
        </w:rPr>
        <w:t>, c</w:t>
      </w:r>
      <w:r w:rsidR="00975858">
        <w:rPr>
          <w:rFonts w:asciiTheme="majorHAnsi" w:hAnsiTheme="majorHAnsi" w:cstheme="majorHAnsi"/>
          <w:b/>
        </w:rPr>
        <w:t>o</w:t>
      </w:r>
      <w:r w:rsidRPr="00DF1C01">
        <w:rPr>
          <w:rFonts w:asciiTheme="majorHAnsi" w:hAnsiTheme="majorHAnsi" w:cstheme="majorHAnsi"/>
          <w:b/>
        </w:rPr>
        <w:t xml:space="preserve"> 4, c.p.c.</w:t>
      </w:r>
      <w:r w:rsidR="00975858" w:rsidRPr="00975858">
        <w:rPr>
          <w:rFonts w:asciiTheme="majorHAnsi" w:hAnsiTheme="majorHAnsi" w:cstheme="majorHAnsi"/>
        </w:rPr>
        <w:t xml:space="preserve"> </w:t>
      </w:r>
      <w:r w:rsidR="00975858">
        <w:rPr>
          <w:rFonts w:asciiTheme="majorHAnsi" w:hAnsiTheme="majorHAnsi" w:cstheme="majorHAnsi"/>
        </w:rPr>
        <w:t>“</w:t>
      </w:r>
      <w:r w:rsidR="00975858" w:rsidRPr="00975858">
        <w:rPr>
          <w:rFonts w:asciiTheme="majorHAnsi" w:hAnsiTheme="majorHAnsi" w:cstheme="majorHAnsi"/>
          <w:iCs/>
        </w:rPr>
        <w:t>Controversie in materia di licenziamento</w:t>
      </w:r>
      <w:r w:rsidR="00975858">
        <w:rPr>
          <w:rFonts w:asciiTheme="majorHAnsi" w:hAnsiTheme="majorHAnsi" w:cstheme="majorHAnsi"/>
          <w:iCs/>
        </w:rPr>
        <w:t>”</w:t>
      </w:r>
      <w:r w:rsidR="00975858" w:rsidRPr="00975858">
        <w:rPr>
          <w:rFonts w:asciiTheme="majorHAnsi" w:hAnsiTheme="majorHAnsi" w:cstheme="majorHAnsi"/>
          <w:iCs/>
        </w:rPr>
        <w:t>:</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hAnsiTheme="majorHAnsi" w:cstheme="majorHAnsi"/>
          <w:i/>
        </w:rPr>
        <w:t>All</w:t>
      </w:r>
      <w:r w:rsidR="00975858">
        <w:rPr>
          <w:rFonts w:asciiTheme="majorHAnsi" w:hAnsiTheme="majorHAnsi" w:cstheme="majorHAnsi"/>
          <w:i/>
        </w:rPr>
        <w:t>’</w:t>
      </w:r>
      <w:r w:rsidRPr="00DF1C01">
        <w:rPr>
          <w:rFonts w:asciiTheme="majorHAnsi" w:hAnsiTheme="majorHAnsi" w:cstheme="majorHAnsi"/>
          <w:i/>
        </w:rPr>
        <w:t>udienza di discussione il giudice dispone, in relazione alle esigenze di celerità anche prospettate dalle parti, la trattazione congiunta di eventuali domande connesse e riconvenzionali ovvero la loro separazione, assicurando in ogni caso la concentrazione della fase istruttoria e di quella decisoria in relazione alle domande di reintegrazione nel posto di lavoro. A tal fine il giudice riserva particolari giorni, anche ravvicinati, nel calendario delle udienze.</w:t>
      </w:r>
    </w:p>
  </w:footnote>
  <w:footnote w:id="16">
    <w:p w:rsidR="00975858" w:rsidRDefault="00D328EC" w:rsidP="009B0221">
      <w:pPr>
        <w:pStyle w:val="Testonotaapidipagina"/>
        <w:ind w:firstLine="425"/>
        <w:jc w:val="both"/>
        <w:rPr>
          <w:rFonts w:asciiTheme="majorHAnsi" w:hAnsiTheme="majorHAnsi" w:cstheme="majorHAnsi"/>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Pr="00DF1C01">
        <w:rPr>
          <w:rFonts w:asciiTheme="majorHAnsi" w:hAnsiTheme="majorHAnsi" w:cstheme="majorHAnsi"/>
          <w:b/>
        </w:rPr>
        <w:t>Art. 1, co</w:t>
      </w:r>
      <w:r w:rsidR="008A6FBC">
        <w:rPr>
          <w:rFonts w:asciiTheme="majorHAnsi" w:hAnsiTheme="majorHAnsi" w:cstheme="majorHAnsi"/>
          <w:b/>
        </w:rPr>
        <w:t>.</w:t>
      </w:r>
      <w:r w:rsidRPr="00DF1C01">
        <w:rPr>
          <w:rFonts w:asciiTheme="majorHAnsi" w:hAnsiTheme="majorHAnsi" w:cstheme="majorHAnsi"/>
          <w:b/>
        </w:rPr>
        <w:t xml:space="preserve"> 48, L. n. 92/2012</w:t>
      </w:r>
      <w:r w:rsidRPr="00DF1C01">
        <w:rPr>
          <w:rFonts w:asciiTheme="majorHAnsi" w:hAnsiTheme="majorHAnsi" w:cstheme="majorHAnsi"/>
        </w:rPr>
        <w:t xml:space="preserve">: </w:t>
      </w:r>
    </w:p>
    <w:p w:rsidR="00D55AE7" w:rsidRDefault="00D328EC" w:rsidP="009B0221">
      <w:pPr>
        <w:pStyle w:val="Testonotaapidipagina"/>
        <w:ind w:firstLine="425"/>
        <w:jc w:val="both"/>
        <w:rPr>
          <w:rFonts w:asciiTheme="majorHAnsi" w:hAnsiTheme="majorHAnsi" w:cstheme="majorHAnsi"/>
          <w:i/>
        </w:rPr>
      </w:pPr>
      <w:r w:rsidRPr="00DF1C01">
        <w:rPr>
          <w:rFonts w:asciiTheme="majorHAnsi" w:hAnsiTheme="majorHAnsi" w:cstheme="majorHAnsi"/>
        </w:rPr>
        <w:t>“</w:t>
      </w:r>
      <w:r w:rsidRPr="00DF1C01">
        <w:rPr>
          <w:rFonts w:asciiTheme="majorHAnsi" w:hAnsiTheme="majorHAnsi" w:cstheme="majorHAnsi"/>
          <w:i/>
        </w:rPr>
        <w:t>La domanda avente ad oggetto l</w:t>
      </w:r>
      <w:r w:rsidR="00C6554C">
        <w:rPr>
          <w:rFonts w:asciiTheme="majorHAnsi" w:hAnsiTheme="majorHAnsi" w:cstheme="majorHAnsi"/>
          <w:i/>
        </w:rPr>
        <w:t>’</w:t>
      </w:r>
      <w:r w:rsidRPr="00DF1C01">
        <w:rPr>
          <w:rFonts w:asciiTheme="majorHAnsi" w:hAnsiTheme="majorHAnsi" w:cstheme="majorHAnsi"/>
          <w:i/>
        </w:rPr>
        <w:t xml:space="preserve">impugnativa del licenziamento di cui al comma 47 si propone con ricorso al tribunale in funzione di giudice del lavoro. Il ricorso deve avere i requisiti di cui all'articolo 125 del codice di procedura civile. </w:t>
      </w:r>
      <w:r w:rsidRPr="00DF1C01">
        <w:rPr>
          <w:rFonts w:asciiTheme="majorHAnsi" w:hAnsiTheme="majorHAnsi" w:cstheme="majorHAnsi"/>
          <w:i/>
          <w:u w:val="single"/>
        </w:rPr>
        <w:t>Con il ricorso non possono essere proposte domande diverse da quelle di cui al comma 47 del presente articolo, salvo che siano fondate sugli identici fatti costitutivi.</w:t>
      </w:r>
      <w:r w:rsidRPr="00DF1C01">
        <w:rPr>
          <w:rFonts w:asciiTheme="majorHAnsi" w:hAnsiTheme="majorHAnsi" w:cstheme="majorHAnsi"/>
          <w:i/>
        </w:rPr>
        <w:t xml:space="preserve"> A seguito della presentazione del ricorso il giudice fissa con decreto l</w:t>
      </w:r>
      <w:r w:rsidR="00C6554C">
        <w:rPr>
          <w:rFonts w:asciiTheme="majorHAnsi" w:hAnsiTheme="majorHAnsi" w:cstheme="majorHAnsi"/>
          <w:i/>
        </w:rPr>
        <w:t>’</w:t>
      </w:r>
      <w:r w:rsidRPr="00DF1C01">
        <w:rPr>
          <w:rFonts w:asciiTheme="majorHAnsi" w:hAnsiTheme="majorHAnsi" w:cstheme="majorHAnsi"/>
          <w:i/>
        </w:rPr>
        <w:t>udienza di comparizione delle parti. L</w:t>
      </w:r>
      <w:r w:rsidR="00C6554C">
        <w:rPr>
          <w:rFonts w:asciiTheme="majorHAnsi" w:hAnsiTheme="majorHAnsi" w:cstheme="majorHAnsi"/>
          <w:i/>
        </w:rPr>
        <w:t>’</w:t>
      </w:r>
      <w:r w:rsidRPr="00DF1C01">
        <w:rPr>
          <w:rFonts w:asciiTheme="majorHAnsi" w:hAnsiTheme="majorHAnsi" w:cstheme="majorHAnsi"/>
          <w:i/>
        </w:rPr>
        <w:t>udienza deve essere fissata non oltre quaranta giorni dal deposito del ricorso. Il giudice assegna un termine per la notifica del ricorso e del decreto non inferiore a venticinque giorni prima dell'udienza, nonché un termine, non inferiore a cinque giorni prima della stessa udienza, per la costituzione del resistente. La notificazione è a cura del ricorrente, anche a mezzo di posta elettronica certificata. Qualora dalle parti siano prodotti documenti, essi devono essere depositati presso la cancelleria in duplice copia.</w:t>
      </w:r>
    </w:p>
    <w:p w:rsidR="00D55AE7" w:rsidRDefault="00D55AE7" w:rsidP="009B0221">
      <w:pPr>
        <w:pStyle w:val="Testonotaapidipagina"/>
        <w:ind w:firstLine="425"/>
        <w:jc w:val="both"/>
        <w:rPr>
          <w:rFonts w:asciiTheme="majorHAnsi" w:hAnsiTheme="majorHAnsi" w:cstheme="majorHAnsi"/>
        </w:rPr>
      </w:pPr>
      <w:r w:rsidRPr="00DF1C01">
        <w:rPr>
          <w:rFonts w:asciiTheme="majorHAnsi" w:hAnsiTheme="majorHAnsi" w:cstheme="majorHAnsi"/>
          <w:b/>
        </w:rPr>
        <w:t>Art. 1, co</w:t>
      </w:r>
      <w:r>
        <w:rPr>
          <w:rFonts w:asciiTheme="majorHAnsi" w:hAnsiTheme="majorHAnsi" w:cstheme="majorHAnsi"/>
          <w:b/>
        </w:rPr>
        <w:t>.</w:t>
      </w:r>
      <w:r w:rsidRPr="00DF1C01">
        <w:rPr>
          <w:rFonts w:asciiTheme="majorHAnsi" w:hAnsiTheme="majorHAnsi" w:cstheme="majorHAnsi"/>
          <w:b/>
        </w:rPr>
        <w:t xml:space="preserve"> 56, L. n. 92/2012</w:t>
      </w:r>
      <w:r w:rsidRPr="00DF1C01">
        <w:rPr>
          <w:rFonts w:asciiTheme="majorHAnsi" w:hAnsiTheme="majorHAnsi" w:cstheme="majorHAnsi"/>
        </w:rPr>
        <w:t xml:space="preserve">: </w:t>
      </w:r>
    </w:p>
    <w:p w:rsidR="00D55AE7" w:rsidRPr="00DF1C01" w:rsidRDefault="00D55AE7" w:rsidP="009B0221">
      <w:pPr>
        <w:pStyle w:val="Testonotaapidipagina"/>
        <w:ind w:firstLine="425"/>
        <w:jc w:val="both"/>
        <w:rPr>
          <w:rFonts w:asciiTheme="majorHAnsi" w:hAnsiTheme="majorHAnsi" w:cstheme="majorHAnsi"/>
          <w:i/>
        </w:rPr>
      </w:pPr>
      <w:r w:rsidRPr="00DF1C01">
        <w:rPr>
          <w:rFonts w:asciiTheme="majorHAnsi" w:hAnsiTheme="majorHAnsi" w:cstheme="majorHAnsi"/>
          <w:i/>
        </w:rPr>
        <w:t>Quando la causa relativa alla domanda riconvenzionale non è fondata su fatti costitutivi identici a quelli posti a base della domanda principale il giudice ne dispone la separazione.</w:t>
      </w:r>
    </w:p>
    <w:p w:rsidR="00D328EC" w:rsidRPr="00DF1C01" w:rsidRDefault="00D328EC" w:rsidP="009B0221">
      <w:pPr>
        <w:pStyle w:val="Testonotaapidipagina"/>
        <w:ind w:firstLine="425"/>
        <w:jc w:val="both"/>
        <w:rPr>
          <w:rFonts w:asciiTheme="majorHAnsi" w:hAnsiTheme="majorHAnsi" w:cstheme="majorHAnsi"/>
        </w:rPr>
      </w:pPr>
    </w:p>
  </w:footnote>
  <w:footnote w:id="17">
    <w:p w:rsidR="00D328EC" w:rsidRPr="00DF1C01" w:rsidRDefault="00D328EC" w:rsidP="009B0221">
      <w:pPr>
        <w:pStyle w:val="Testonotaapidipagina"/>
        <w:ind w:firstLine="425"/>
        <w:jc w:val="both"/>
        <w:rPr>
          <w:rFonts w:asciiTheme="majorHAnsi" w:hAnsiTheme="majorHAnsi" w:cstheme="majorHAnsi"/>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00D55AE7">
        <w:rPr>
          <w:rFonts w:asciiTheme="majorHAnsi" w:hAnsiTheme="majorHAnsi" w:cstheme="majorHAnsi"/>
        </w:rPr>
        <w:t xml:space="preserve">Così la Corte nella sentenza citata nel testo: </w:t>
      </w:r>
      <w:r w:rsidRPr="00DF1C01">
        <w:rPr>
          <w:rFonts w:asciiTheme="majorHAnsi" w:hAnsiTheme="majorHAnsi" w:cstheme="majorHAnsi"/>
        </w:rPr>
        <w:t>“</w:t>
      </w:r>
      <w:r w:rsidRPr="00DF1C01">
        <w:rPr>
          <w:rFonts w:asciiTheme="majorHAnsi" w:hAnsiTheme="majorHAnsi" w:cstheme="majorHAnsi"/>
          <w:i/>
        </w:rPr>
        <w:t>Nel caso di impugnativa di licenziamento, secondo il rito di cui all</w:t>
      </w:r>
      <w:r w:rsidR="00C6554C">
        <w:rPr>
          <w:rFonts w:asciiTheme="majorHAnsi" w:hAnsiTheme="majorHAnsi" w:cstheme="majorHAnsi"/>
          <w:i/>
        </w:rPr>
        <w:t>’</w:t>
      </w:r>
      <w:r w:rsidRPr="00DF1C01">
        <w:rPr>
          <w:rFonts w:asciiTheme="majorHAnsi" w:hAnsiTheme="majorHAnsi" w:cstheme="majorHAnsi"/>
          <w:i/>
        </w:rPr>
        <w:t>art. 1, comma 48, della l. n. 92 del 2012, è ammissibile la proposizione in via subordinata, da parte del lavoratore, delle domande di pagamento del t.f.r. e dell'indennità di preavviso, in quanto nascenti dalla cessazione del rapporto, e quindi fondate su fatti costitutivi già dedotti, sicché il relativo esame non comporta un indebito ampliamento del tema sottoposto a decisione, ed evita il frazionamento dei processi o pronunce in mero rito, permettendo, al contrario, che un</w:t>
      </w:r>
      <w:r w:rsidR="00C6554C">
        <w:rPr>
          <w:rFonts w:asciiTheme="majorHAnsi" w:hAnsiTheme="majorHAnsi" w:cstheme="majorHAnsi"/>
          <w:i/>
        </w:rPr>
        <w:t>’</w:t>
      </w:r>
      <w:r w:rsidRPr="00DF1C01">
        <w:rPr>
          <w:rFonts w:asciiTheme="majorHAnsi" w:hAnsiTheme="majorHAnsi" w:cstheme="majorHAnsi"/>
          <w:i/>
        </w:rPr>
        <w:t>unica vicenda estintiva del rapporto di lavoro dia luogo ad un unico processo.”</w:t>
      </w:r>
      <w:r w:rsidRPr="00DF1C01">
        <w:rPr>
          <w:rFonts w:asciiTheme="majorHAnsi" w:hAnsiTheme="majorHAnsi" w:cstheme="majorHAnsi"/>
        </w:rPr>
        <w:t xml:space="preserve">  </w:t>
      </w:r>
    </w:p>
  </w:footnote>
  <w:footnote w:id="18">
    <w:p w:rsidR="00A32DC8" w:rsidRDefault="00D328EC" w:rsidP="009B0221">
      <w:pPr>
        <w:pStyle w:val="Testonotaapidipagina"/>
        <w:ind w:firstLine="425"/>
        <w:jc w:val="both"/>
        <w:rPr>
          <w:rFonts w:asciiTheme="majorHAnsi" w:hAnsiTheme="majorHAnsi" w:cstheme="majorHAnsi"/>
          <w:iCs/>
        </w:rPr>
      </w:pPr>
      <w:r w:rsidRPr="00DF1C01">
        <w:rPr>
          <w:rStyle w:val="Rimandonotaapidipagina"/>
          <w:rFonts w:asciiTheme="majorHAnsi" w:hAnsiTheme="majorHAnsi" w:cstheme="majorHAnsi"/>
        </w:rPr>
        <w:footnoteRef/>
      </w:r>
      <w:r w:rsidRPr="00DF1C01">
        <w:rPr>
          <w:rFonts w:asciiTheme="majorHAnsi" w:hAnsiTheme="majorHAnsi" w:cstheme="majorHAnsi"/>
        </w:rPr>
        <w:t xml:space="preserve"> </w:t>
      </w:r>
      <w:r w:rsidRPr="00DF1C01">
        <w:rPr>
          <w:rFonts w:asciiTheme="majorHAnsi" w:hAnsiTheme="majorHAnsi" w:cstheme="majorHAnsi"/>
          <w:b/>
        </w:rPr>
        <w:t>Art. 441</w:t>
      </w:r>
      <w:r w:rsidR="00975858">
        <w:rPr>
          <w:rFonts w:asciiTheme="majorHAnsi" w:hAnsiTheme="majorHAnsi" w:cstheme="majorHAnsi"/>
          <w:b/>
        </w:rPr>
        <w:t xml:space="preserve"> </w:t>
      </w:r>
      <w:r w:rsidRPr="00975858">
        <w:rPr>
          <w:rFonts w:asciiTheme="majorHAnsi" w:hAnsiTheme="majorHAnsi" w:cstheme="majorHAnsi"/>
          <w:b/>
          <w:i/>
          <w:iCs/>
        </w:rPr>
        <w:t>bis</w:t>
      </w:r>
      <w:r w:rsidRPr="00DF1C01">
        <w:rPr>
          <w:rFonts w:asciiTheme="majorHAnsi" w:hAnsiTheme="majorHAnsi" w:cstheme="majorHAnsi"/>
          <w:b/>
        </w:rPr>
        <w:t>, co</w:t>
      </w:r>
      <w:r w:rsidR="00975858">
        <w:rPr>
          <w:rFonts w:asciiTheme="majorHAnsi" w:hAnsiTheme="majorHAnsi" w:cstheme="majorHAnsi"/>
          <w:b/>
        </w:rPr>
        <w:t>.</w:t>
      </w:r>
      <w:r w:rsidRPr="00DF1C01">
        <w:rPr>
          <w:rFonts w:asciiTheme="majorHAnsi" w:hAnsiTheme="majorHAnsi" w:cstheme="majorHAnsi"/>
          <w:b/>
        </w:rPr>
        <w:t xml:space="preserve"> 3, c.p.c.</w:t>
      </w:r>
      <w:r w:rsidR="00A32DC8" w:rsidRPr="00A32DC8">
        <w:rPr>
          <w:rFonts w:asciiTheme="majorHAnsi" w:hAnsiTheme="majorHAnsi" w:cstheme="majorHAnsi"/>
        </w:rPr>
        <w:t xml:space="preserve"> </w:t>
      </w:r>
      <w:r w:rsidR="00A32DC8">
        <w:rPr>
          <w:rFonts w:asciiTheme="majorHAnsi" w:hAnsiTheme="majorHAnsi" w:cstheme="majorHAnsi"/>
        </w:rPr>
        <w:t>“</w:t>
      </w:r>
      <w:r w:rsidR="00A32DC8" w:rsidRPr="00975858">
        <w:rPr>
          <w:rFonts w:asciiTheme="majorHAnsi" w:hAnsiTheme="majorHAnsi" w:cstheme="majorHAnsi"/>
          <w:iCs/>
        </w:rPr>
        <w:t>Controversie in materia di licenziamento</w:t>
      </w:r>
      <w:r w:rsidR="00A32DC8">
        <w:rPr>
          <w:rFonts w:asciiTheme="majorHAnsi" w:hAnsiTheme="majorHAnsi" w:cstheme="majorHAnsi"/>
          <w:iCs/>
        </w:rPr>
        <w:t>”</w:t>
      </w:r>
      <w:r w:rsidR="00A32DC8" w:rsidRPr="00975858">
        <w:rPr>
          <w:rFonts w:asciiTheme="majorHAnsi" w:hAnsiTheme="majorHAnsi" w:cstheme="majorHAnsi"/>
          <w:iCs/>
        </w:rPr>
        <w:t>:</w:t>
      </w:r>
    </w:p>
    <w:p w:rsidR="00D328EC" w:rsidRPr="00DF1C01" w:rsidRDefault="00A32DC8" w:rsidP="009B0221">
      <w:pPr>
        <w:pStyle w:val="Testonotaapidipagina"/>
        <w:ind w:firstLine="425"/>
        <w:jc w:val="both"/>
        <w:rPr>
          <w:rFonts w:asciiTheme="majorHAnsi" w:hAnsiTheme="majorHAnsi" w:cstheme="majorHAnsi"/>
        </w:rPr>
      </w:pPr>
      <w:r>
        <w:rPr>
          <w:rFonts w:asciiTheme="majorHAnsi" w:hAnsiTheme="majorHAnsi" w:cstheme="majorHAnsi"/>
          <w:i/>
        </w:rPr>
        <w:t>I</w:t>
      </w:r>
      <w:r w:rsidR="00D328EC" w:rsidRPr="00DF1C01">
        <w:rPr>
          <w:rFonts w:asciiTheme="majorHAnsi" w:hAnsiTheme="majorHAnsi" w:cstheme="majorHAnsi"/>
          <w:i/>
        </w:rPr>
        <w:t xml:space="preserve"> giudizi di appello e di cassazione sono decisi tenendo conto delle medesime esigenze di celerità e di concentrazione</w:t>
      </w:r>
      <w:r>
        <w:rPr>
          <w:rFonts w:asciiTheme="majorHAnsi" w:hAnsiTheme="majorHAnsi" w:cstheme="majorHAnsi"/>
          <w:i/>
        </w:rPr>
        <w:t>.</w:t>
      </w:r>
    </w:p>
  </w:footnote>
  <w:footnote w:id="19">
    <w:p w:rsidR="00D328EC" w:rsidRPr="00DF1C01" w:rsidRDefault="00D328EC" w:rsidP="009B0221">
      <w:pPr>
        <w:spacing w:after="0" w:line="240" w:lineRule="auto"/>
        <w:ind w:firstLine="425"/>
        <w:jc w:val="both"/>
        <w:rPr>
          <w:rFonts w:asciiTheme="majorHAnsi" w:eastAsia="Times New Roman" w:hAnsiTheme="majorHAnsi" w:cstheme="majorHAnsi"/>
          <w:sz w:val="20"/>
          <w:szCs w:val="20"/>
        </w:rPr>
      </w:pPr>
      <w:r w:rsidRPr="00C6554C">
        <w:rPr>
          <w:rStyle w:val="Rimandonotaapidipagina"/>
          <w:rFonts w:asciiTheme="majorHAnsi" w:hAnsiTheme="majorHAnsi" w:cstheme="majorHAnsi"/>
          <w:b/>
          <w:bCs/>
          <w:sz w:val="20"/>
          <w:szCs w:val="20"/>
        </w:rPr>
        <w:footnoteRef/>
      </w:r>
      <w:r w:rsidRPr="00C6554C">
        <w:rPr>
          <w:rFonts w:asciiTheme="majorHAnsi" w:hAnsiTheme="majorHAnsi" w:cstheme="majorHAnsi"/>
          <w:b/>
          <w:bCs/>
          <w:sz w:val="20"/>
          <w:szCs w:val="20"/>
        </w:rPr>
        <w:t xml:space="preserve"> </w:t>
      </w:r>
      <w:r w:rsidRPr="00C6554C">
        <w:rPr>
          <w:rFonts w:asciiTheme="majorHAnsi" w:eastAsia="Times New Roman" w:hAnsiTheme="majorHAnsi" w:cstheme="majorHAnsi"/>
          <w:b/>
          <w:bCs/>
          <w:sz w:val="20"/>
          <w:szCs w:val="20"/>
        </w:rPr>
        <w:t xml:space="preserve">Art. 441 </w:t>
      </w:r>
      <w:r w:rsidRPr="00C6554C">
        <w:rPr>
          <w:rFonts w:asciiTheme="majorHAnsi" w:eastAsia="Times New Roman" w:hAnsiTheme="majorHAnsi" w:cstheme="majorHAnsi"/>
          <w:b/>
          <w:bCs/>
          <w:i/>
          <w:iCs/>
          <w:sz w:val="20"/>
          <w:szCs w:val="20"/>
        </w:rPr>
        <w:t xml:space="preserve">ter </w:t>
      </w:r>
      <w:r w:rsidRPr="00C6554C">
        <w:rPr>
          <w:rFonts w:asciiTheme="majorHAnsi" w:eastAsia="Times New Roman" w:hAnsiTheme="majorHAnsi" w:cstheme="majorHAnsi"/>
          <w:b/>
          <w:bCs/>
          <w:sz w:val="20"/>
          <w:szCs w:val="20"/>
        </w:rPr>
        <w:t>c.p.c.</w:t>
      </w:r>
      <w:r w:rsidRPr="00DF1C01">
        <w:rPr>
          <w:rFonts w:asciiTheme="majorHAnsi" w:eastAsia="Times New Roman" w:hAnsiTheme="majorHAnsi" w:cstheme="majorHAnsi"/>
          <w:sz w:val="20"/>
          <w:szCs w:val="20"/>
        </w:rPr>
        <w:t xml:space="preserve"> “Licenziamento del socio della cooperativa”:</w:t>
      </w:r>
    </w:p>
    <w:p w:rsidR="00D328EC" w:rsidRPr="00DF1C01" w:rsidRDefault="00D328EC" w:rsidP="009B0221">
      <w:pPr>
        <w:spacing w:after="0" w:line="240" w:lineRule="auto"/>
        <w:ind w:firstLine="425"/>
        <w:jc w:val="both"/>
        <w:rPr>
          <w:rFonts w:asciiTheme="majorHAnsi" w:eastAsia="Times New Roman" w:hAnsiTheme="majorHAnsi" w:cstheme="majorHAnsi"/>
          <w:i/>
          <w:iCs/>
          <w:sz w:val="20"/>
          <w:szCs w:val="20"/>
        </w:rPr>
      </w:pPr>
      <w:r w:rsidRPr="00DF1C01">
        <w:rPr>
          <w:rFonts w:asciiTheme="majorHAnsi" w:eastAsia="Times New Roman" w:hAnsiTheme="majorHAnsi" w:cstheme="majorHAnsi"/>
          <w:i/>
          <w:iCs/>
          <w:sz w:val="20"/>
          <w:szCs w:val="20"/>
        </w:rPr>
        <w:t>Le controversie aventi ad oggetto l’impugnazione dei licenziamenti dei soci delle cooperative sono assoggettate alle norme di cui agli articoli 409 e seguenti e, in tali casi, il giudice decide anche sulle questioni relative al rapporto associativo eventualmente proposte. Il giudice del lavoro decide sul rapporto di lavoro e sul rapporto associativo, altresì, nei casi in cui la cessazione del rapporto di lavoro associativo deriva dalla cessazione del rapporto.</w:t>
      </w:r>
    </w:p>
    <w:p w:rsidR="00D328EC" w:rsidRPr="00DF1C01" w:rsidRDefault="00D328EC" w:rsidP="009B0221">
      <w:pPr>
        <w:spacing w:after="0" w:line="240" w:lineRule="auto"/>
        <w:ind w:firstLine="425"/>
        <w:jc w:val="both"/>
        <w:rPr>
          <w:rFonts w:asciiTheme="majorHAnsi" w:eastAsia="Times New Roman" w:hAnsiTheme="majorHAnsi" w:cstheme="majorHAnsi"/>
          <w:sz w:val="20"/>
          <w:szCs w:val="20"/>
        </w:rPr>
      </w:pPr>
    </w:p>
  </w:footnote>
  <w:footnote w:id="20">
    <w:p w:rsidR="00D328EC" w:rsidRPr="00DF1C01" w:rsidRDefault="00D328EC" w:rsidP="009B0221">
      <w:pPr>
        <w:spacing w:after="0" w:line="240" w:lineRule="auto"/>
        <w:ind w:firstLine="425"/>
        <w:jc w:val="both"/>
        <w:rPr>
          <w:rFonts w:asciiTheme="majorHAnsi" w:eastAsia="Times New Roman" w:hAnsiTheme="majorHAnsi" w:cstheme="majorHAnsi"/>
          <w:sz w:val="20"/>
          <w:szCs w:val="20"/>
        </w:rPr>
      </w:pPr>
      <w:r w:rsidRPr="00DF1C01">
        <w:rPr>
          <w:rStyle w:val="Rimandonotaapidipagina"/>
          <w:rFonts w:asciiTheme="majorHAnsi" w:hAnsiTheme="majorHAnsi" w:cstheme="majorHAnsi"/>
          <w:sz w:val="20"/>
          <w:szCs w:val="20"/>
        </w:rPr>
        <w:footnoteRef/>
      </w:r>
      <w:r w:rsidRPr="00DF1C01">
        <w:rPr>
          <w:rFonts w:asciiTheme="majorHAnsi" w:hAnsiTheme="majorHAnsi" w:cstheme="majorHAnsi"/>
          <w:sz w:val="20"/>
          <w:szCs w:val="20"/>
        </w:rPr>
        <w:t xml:space="preserve"> </w:t>
      </w:r>
      <w:r w:rsidRPr="00C6554C">
        <w:rPr>
          <w:rFonts w:asciiTheme="majorHAnsi" w:eastAsia="Times New Roman" w:hAnsiTheme="majorHAnsi" w:cstheme="majorHAnsi"/>
          <w:b/>
          <w:bCs/>
          <w:sz w:val="20"/>
          <w:szCs w:val="20"/>
        </w:rPr>
        <w:t xml:space="preserve">Art. 441 </w:t>
      </w:r>
      <w:r w:rsidRPr="00C6554C">
        <w:rPr>
          <w:rFonts w:asciiTheme="majorHAnsi" w:eastAsia="Times New Roman" w:hAnsiTheme="majorHAnsi" w:cstheme="majorHAnsi"/>
          <w:b/>
          <w:bCs/>
          <w:i/>
          <w:iCs/>
          <w:sz w:val="20"/>
          <w:szCs w:val="20"/>
        </w:rPr>
        <w:t xml:space="preserve">quater </w:t>
      </w:r>
      <w:r w:rsidRPr="00C6554C">
        <w:rPr>
          <w:rFonts w:asciiTheme="majorHAnsi" w:eastAsia="Times New Roman" w:hAnsiTheme="majorHAnsi" w:cstheme="majorHAnsi"/>
          <w:b/>
          <w:bCs/>
          <w:sz w:val="20"/>
          <w:szCs w:val="20"/>
        </w:rPr>
        <w:t>c.p.c.</w:t>
      </w:r>
      <w:r w:rsidRPr="00DF1C01">
        <w:rPr>
          <w:rFonts w:asciiTheme="majorHAnsi" w:eastAsia="Times New Roman" w:hAnsiTheme="majorHAnsi" w:cstheme="majorHAnsi"/>
          <w:sz w:val="20"/>
          <w:szCs w:val="20"/>
        </w:rPr>
        <w:t xml:space="preserve"> “Licenziamento discriminatorio”:</w:t>
      </w:r>
    </w:p>
    <w:p w:rsidR="00D328EC" w:rsidRPr="00DF1C01" w:rsidRDefault="00D328EC" w:rsidP="009B0221">
      <w:pPr>
        <w:spacing w:after="0" w:line="240" w:lineRule="auto"/>
        <w:ind w:firstLine="425"/>
        <w:jc w:val="both"/>
        <w:rPr>
          <w:rFonts w:asciiTheme="majorHAnsi" w:hAnsiTheme="majorHAnsi" w:cstheme="majorHAnsi"/>
          <w:sz w:val="20"/>
          <w:szCs w:val="20"/>
        </w:rPr>
      </w:pPr>
      <w:r w:rsidRPr="00DF1C01">
        <w:rPr>
          <w:rFonts w:asciiTheme="majorHAnsi" w:eastAsia="Times New Roman" w:hAnsiTheme="majorHAnsi" w:cstheme="majorHAnsi"/>
          <w:i/>
          <w:iCs/>
          <w:sz w:val="20"/>
          <w:szCs w:val="20"/>
        </w:rPr>
        <w:t>Le azioni di nullità dei licenziamenti discriminatori, ove non siano proposte con ricorso ai sensi dell’articolo 414, possono essere introdotte, ricorrendone i presupposti, con i riti speciali. La proposizione della domanda relativa alla nullità del licenziamento discriminatorio e alle sue conseguenze, nell’una o nell’altra forma, preclude la possibilità di agire successivamente in giudizio con rito diverso per quella stessa domanda.</w:t>
      </w:r>
    </w:p>
  </w:footnote>
  <w:footnote w:id="21">
    <w:p w:rsidR="00D328EC" w:rsidRPr="00DF1C01" w:rsidRDefault="00D328EC" w:rsidP="009B0221">
      <w:pPr>
        <w:spacing w:after="0" w:line="240" w:lineRule="auto"/>
        <w:ind w:firstLine="425"/>
        <w:jc w:val="both"/>
        <w:rPr>
          <w:rFonts w:asciiTheme="majorHAnsi" w:eastAsia="Times New Roman" w:hAnsiTheme="majorHAnsi" w:cstheme="majorHAnsi"/>
          <w:sz w:val="20"/>
          <w:szCs w:val="20"/>
        </w:rPr>
      </w:pPr>
      <w:r w:rsidRPr="00DF1C01">
        <w:rPr>
          <w:rStyle w:val="Rimandonotaapidipagina"/>
          <w:rFonts w:asciiTheme="majorHAnsi" w:hAnsiTheme="majorHAnsi" w:cstheme="majorHAnsi"/>
          <w:sz w:val="20"/>
          <w:szCs w:val="20"/>
        </w:rPr>
        <w:footnoteRef/>
      </w:r>
      <w:r w:rsidRPr="00DF1C01">
        <w:rPr>
          <w:rFonts w:asciiTheme="majorHAnsi" w:hAnsiTheme="majorHAnsi" w:cstheme="majorHAnsi"/>
          <w:sz w:val="20"/>
          <w:szCs w:val="20"/>
        </w:rPr>
        <w:t xml:space="preserve"> </w:t>
      </w:r>
      <w:r w:rsidRPr="00C6554C">
        <w:rPr>
          <w:rFonts w:asciiTheme="majorHAnsi" w:eastAsia="Times New Roman" w:hAnsiTheme="majorHAnsi" w:cstheme="majorHAnsi"/>
          <w:b/>
          <w:bCs/>
          <w:sz w:val="20"/>
          <w:szCs w:val="20"/>
        </w:rPr>
        <w:t>Art. 414 c.p.c.</w:t>
      </w:r>
      <w:r w:rsidRPr="00DF1C01">
        <w:rPr>
          <w:rFonts w:asciiTheme="majorHAnsi" w:eastAsia="Times New Roman" w:hAnsiTheme="majorHAnsi" w:cstheme="majorHAnsi"/>
          <w:sz w:val="20"/>
          <w:szCs w:val="20"/>
        </w:rPr>
        <w:t xml:space="preserve"> “Forma della domanda”:</w:t>
      </w:r>
    </w:p>
    <w:p w:rsidR="00D328EC" w:rsidRPr="00DF1C01" w:rsidRDefault="00D328EC" w:rsidP="009B0221">
      <w:pPr>
        <w:pStyle w:val="Testonotaapidipagina"/>
        <w:ind w:firstLine="425"/>
        <w:jc w:val="both"/>
        <w:rPr>
          <w:rFonts w:asciiTheme="majorHAnsi" w:eastAsia="Times New Roman" w:hAnsiTheme="majorHAnsi" w:cstheme="majorHAnsi"/>
          <w:i/>
          <w:iCs/>
        </w:rPr>
      </w:pPr>
      <w:r w:rsidRPr="00DF1C01">
        <w:rPr>
          <w:rFonts w:asciiTheme="majorHAnsi" w:eastAsia="Times New Roman" w:hAnsiTheme="majorHAnsi" w:cstheme="majorHAnsi"/>
          <w:i/>
          <w:iCs/>
        </w:rPr>
        <w:t>La domanda si propone con ricorso, il quale deve contenere:</w:t>
      </w:r>
    </w:p>
    <w:p w:rsidR="00D328EC" w:rsidRPr="00DF1C01" w:rsidRDefault="00D328EC" w:rsidP="009B0221">
      <w:pPr>
        <w:pStyle w:val="Testonotaapidipagina"/>
        <w:ind w:firstLine="425"/>
        <w:jc w:val="both"/>
        <w:rPr>
          <w:rFonts w:asciiTheme="majorHAnsi" w:eastAsia="Times New Roman" w:hAnsiTheme="majorHAnsi" w:cstheme="majorHAnsi"/>
          <w:i/>
          <w:iCs/>
        </w:rPr>
      </w:pPr>
      <w:r w:rsidRPr="00DF1C01">
        <w:rPr>
          <w:rFonts w:asciiTheme="majorHAnsi" w:eastAsia="Times New Roman" w:hAnsiTheme="majorHAnsi" w:cstheme="majorHAnsi"/>
          <w:i/>
          <w:iCs/>
        </w:rPr>
        <w:t xml:space="preserve">    1) l’indicazione del giudice;</w:t>
      </w:r>
    </w:p>
    <w:p w:rsidR="00D328EC" w:rsidRPr="00DF1C01" w:rsidRDefault="00D328EC" w:rsidP="009B0221">
      <w:pPr>
        <w:pStyle w:val="Testonotaapidipagina"/>
        <w:ind w:firstLine="425"/>
        <w:jc w:val="both"/>
        <w:rPr>
          <w:rFonts w:asciiTheme="majorHAnsi" w:eastAsia="Times New Roman" w:hAnsiTheme="majorHAnsi" w:cstheme="majorHAnsi"/>
          <w:i/>
          <w:iCs/>
        </w:rPr>
      </w:pPr>
      <w:r w:rsidRPr="00DF1C01">
        <w:rPr>
          <w:rFonts w:asciiTheme="majorHAnsi" w:eastAsia="Times New Roman" w:hAnsiTheme="majorHAnsi" w:cstheme="majorHAnsi"/>
          <w:i/>
          <w:iCs/>
        </w:rPr>
        <w:t xml:space="preserve">    2) il nome, il cognome, nonché la residenza o il domicilio eletto del ricorrente nel comune in cui ha sede il giudice adito, il nome, il cognome e la residenza o il domicilio o la dimora del convenuto; se ricorrente o convenuto è una persona giuridica, un’associazione non riconosciuta o un comitato, il ricorso deve indicare la denominazione o ditta nonché la sede del ricorrente o del convenuto;</w:t>
      </w:r>
    </w:p>
    <w:p w:rsidR="00D328EC" w:rsidRPr="00DF1C01" w:rsidRDefault="00D328EC" w:rsidP="009B0221">
      <w:pPr>
        <w:pStyle w:val="Testonotaapidipagina"/>
        <w:ind w:firstLine="425"/>
        <w:jc w:val="both"/>
        <w:rPr>
          <w:rFonts w:asciiTheme="majorHAnsi" w:eastAsia="Times New Roman" w:hAnsiTheme="majorHAnsi" w:cstheme="majorHAnsi"/>
          <w:i/>
          <w:iCs/>
        </w:rPr>
      </w:pPr>
      <w:r w:rsidRPr="00DF1C01">
        <w:rPr>
          <w:rFonts w:asciiTheme="majorHAnsi" w:eastAsia="Times New Roman" w:hAnsiTheme="majorHAnsi" w:cstheme="majorHAnsi"/>
          <w:i/>
          <w:iCs/>
        </w:rPr>
        <w:t xml:space="preserve">    3) la determinazione dell’oggetto della domanda;</w:t>
      </w:r>
    </w:p>
    <w:p w:rsidR="00D328EC" w:rsidRPr="00DF1C01" w:rsidRDefault="00D328EC" w:rsidP="009B0221">
      <w:pPr>
        <w:pStyle w:val="Testonotaapidipagina"/>
        <w:ind w:firstLine="425"/>
        <w:jc w:val="both"/>
        <w:rPr>
          <w:rFonts w:asciiTheme="majorHAnsi" w:eastAsia="Times New Roman" w:hAnsiTheme="majorHAnsi" w:cstheme="majorHAnsi"/>
          <w:i/>
          <w:iCs/>
        </w:rPr>
      </w:pPr>
      <w:r w:rsidRPr="00DF1C01">
        <w:rPr>
          <w:rFonts w:asciiTheme="majorHAnsi" w:eastAsia="Times New Roman" w:hAnsiTheme="majorHAnsi" w:cstheme="majorHAnsi"/>
          <w:i/>
          <w:iCs/>
        </w:rPr>
        <w:t xml:space="preserve">    4) l’esposizione dei fatti e degli elementi di diritto sui quali si fonda la domanda con le relative conclusioni;</w:t>
      </w:r>
    </w:p>
    <w:p w:rsidR="005F6BFB" w:rsidRPr="00DF1C01" w:rsidRDefault="00D328EC" w:rsidP="005F6BFB">
      <w:pPr>
        <w:pStyle w:val="Testonotaapidipagina"/>
        <w:ind w:firstLine="425"/>
        <w:jc w:val="both"/>
        <w:rPr>
          <w:rFonts w:asciiTheme="majorHAnsi" w:eastAsia="Times New Roman" w:hAnsiTheme="majorHAnsi" w:cstheme="majorHAnsi"/>
        </w:rPr>
      </w:pPr>
      <w:r w:rsidRPr="00DF1C01">
        <w:rPr>
          <w:rFonts w:asciiTheme="majorHAnsi" w:eastAsia="Times New Roman" w:hAnsiTheme="majorHAnsi" w:cstheme="majorHAnsi"/>
          <w:i/>
          <w:iCs/>
        </w:rPr>
        <w:t xml:space="preserve">    5) l’indicazione specifica dei mezzi di prova di cui il ricorrente intende avvalersi e in particolare dei documenti che si offrono in comunicazione</w:t>
      </w:r>
      <w:r w:rsidR="005F6BFB">
        <w:rPr>
          <w:rFonts w:asciiTheme="majorHAnsi" w:eastAsia="Times New Roman" w:hAnsiTheme="majorHAnsi" w:cstheme="majorHAnsi"/>
          <w:i/>
          <w:iCs/>
        </w:rPr>
        <w:t>.</w:t>
      </w:r>
    </w:p>
    <w:p w:rsidR="00D328EC" w:rsidRPr="00DF1C01" w:rsidRDefault="00D328EC" w:rsidP="009B0221">
      <w:pPr>
        <w:pStyle w:val="Testonotaapidipagina"/>
        <w:ind w:firstLine="425"/>
        <w:jc w:val="both"/>
        <w:rPr>
          <w:rFonts w:asciiTheme="majorHAnsi" w:hAnsiTheme="majorHAnsi" w:cstheme="majorHAnsi"/>
        </w:rPr>
      </w:pPr>
      <w:r w:rsidRPr="00DF1C01">
        <w:rPr>
          <w:rFonts w:asciiTheme="majorHAnsi" w:eastAsia="Times New Roman" w:hAnsiTheme="majorHAnsi" w:cstheme="majorHAnsi"/>
        </w:rPr>
        <w:t>.</w:t>
      </w:r>
    </w:p>
  </w:footnote>
  <w:footnote w:id="22">
    <w:p w:rsidR="008A6FBC" w:rsidRDefault="00D328EC" w:rsidP="009B0221">
      <w:pPr>
        <w:pBdr>
          <w:top w:val="nil"/>
          <w:left w:val="nil"/>
          <w:bottom w:val="nil"/>
          <w:right w:val="nil"/>
          <w:between w:val="nil"/>
        </w:pBdr>
        <w:spacing w:after="0" w:line="240" w:lineRule="auto"/>
        <w:ind w:firstLine="425"/>
        <w:jc w:val="both"/>
        <w:rPr>
          <w:rFonts w:asciiTheme="majorHAnsi" w:hAnsiTheme="majorHAnsi" w:cstheme="majorHAnsi"/>
          <w:sz w:val="20"/>
          <w:szCs w:val="20"/>
        </w:rPr>
      </w:pPr>
      <w:r w:rsidRPr="00DF1C01">
        <w:rPr>
          <w:rFonts w:asciiTheme="majorHAnsi" w:hAnsiTheme="majorHAnsi" w:cstheme="majorHAnsi"/>
          <w:sz w:val="20"/>
          <w:szCs w:val="20"/>
          <w:vertAlign w:val="superscript"/>
        </w:rPr>
        <w:footnoteRef/>
      </w:r>
      <w:r w:rsidRPr="00DF1C01">
        <w:rPr>
          <w:rFonts w:asciiTheme="majorHAnsi" w:eastAsia="Times New Roman" w:hAnsiTheme="majorHAnsi" w:cstheme="majorHAnsi"/>
          <w:color w:val="000000"/>
          <w:sz w:val="20"/>
          <w:szCs w:val="20"/>
        </w:rPr>
        <w:t xml:space="preserve"> </w:t>
      </w:r>
      <w:r w:rsidRPr="00DF1C01">
        <w:rPr>
          <w:rFonts w:asciiTheme="majorHAnsi" w:hAnsiTheme="majorHAnsi" w:cstheme="majorHAnsi"/>
          <w:b/>
          <w:sz w:val="20"/>
          <w:szCs w:val="20"/>
        </w:rPr>
        <w:t>Art. 434 c.p.c.</w:t>
      </w:r>
      <w:r w:rsidR="008A6FBC">
        <w:rPr>
          <w:rFonts w:asciiTheme="majorHAnsi" w:hAnsiTheme="majorHAnsi" w:cstheme="majorHAnsi"/>
          <w:sz w:val="20"/>
          <w:szCs w:val="20"/>
        </w:rPr>
        <w:t xml:space="preserve"> “</w:t>
      </w:r>
      <w:r w:rsidR="008A6FBC" w:rsidRPr="008A6FBC">
        <w:rPr>
          <w:rFonts w:asciiTheme="majorHAnsi" w:hAnsiTheme="majorHAnsi" w:cstheme="majorHAnsi"/>
          <w:sz w:val="20"/>
          <w:szCs w:val="20"/>
        </w:rPr>
        <w:t>Deposito del ricorso in appello</w:t>
      </w:r>
      <w:r w:rsidR="008A6FBC">
        <w:rPr>
          <w:rFonts w:asciiTheme="majorHAnsi" w:hAnsiTheme="majorHAnsi" w:cstheme="majorHAnsi"/>
          <w:sz w:val="20"/>
          <w:szCs w:val="20"/>
        </w:rPr>
        <w:t>”:</w:t>
      </w:r>
    </w:p>
    <w:p w:rsidR="00D328EC" w:rsidRPr="007D0085"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rPr>
        <w:t>Il ricorso deve contenere le indicazioni prescritte dall</w:t>
      </w:r>
      <w:r w:rsidR="008A0212" w:rsidRPr="007D0085">
        <w:rPr>
          <w:rFonts w:asciiTheme="majorHAnsi" w:hAnsiTheme="majorHAnsi" w:cstheme="majorHAnsi"/>
          <w:i/>
          <w:sz w:val="20"/>
          <w:szCs w:val="20"/>
        </w:rPr>
        <w:t>’</w:t>
      </w:r>
      <w:r w:rsidRPr="007D0085">
        <w:rPr>
          <w:rFonts w:asciiTheme="majorHAnsi" w:hAnsiTheme="majorHAnsi" w:cstheme="majorHAnsi"/>
          <w:i/>
          <w:sz w:val="20"/>
          <w:szCs w:val="20"/>
        </w:rPr>
        <w:t>articolo 414. L</w:t>
      </w:r>
      <w:r w:rsidR="008A6FBC" w:rsidRPr="007D0085">
        <w:rPr>
          <w:rFonts w:asciiTheme="majorHAnsi" w:hAnsiTheme="majorHAnsi" w:cstheme="majorHAnsi"/>
          <w:i/>
          <w:sz w:val="20"/>
          <w:szCs w:val="20"/>
        </w:rPr>
        <w:t>’</w:t>
      </w:r>
      <w:hyperlink r:id="rId1">
        <w:r w:rsidRPr="007D0085">
          <w:rPr>
            <w:rFonts w:asciiTheme="majorHAnsi" w:hAnsiTheme="majorHAnsi" w:cstheme="majorHAnsi"/>
            <w:i/>
            <w:sz w:val="20"/>
            <w:szCs w:val="20"/>
          </w:rPr>
          <w:t>appello</w:t>
        </w:r>
      </w:hyperlink>
      <w:r w:rsidRPr="007D0085">
        <w:rPr>
          <w:rFonts w:asciiTheme="majorHAnsi" w:hAnsiTheme="majorHAnsi" w:cstheme="majorHAnsi"/>
          <w:i/>
          <w:sz w:val="20"/>
          <w:szCs w:val="20"/>
        </w:rPr>
        <w:t> deve essere motivato, e per ciascuno dei motivi deve indicare a pena di </w:t>
      </w:r>
      <w:hyperlink r:id="rId2">
        <w:r w:rsidRPr="007D0085">
          <w:rPr>
            <w:rFonts w:asciiTheme="majorHAnsi" w:hAnsiTheme="majorHAnsi" w:cstheme="majorHAnsi"/>
            <w:i/>
            <w:sz w:val="20"/>
            <w:szCs w:val="20"/>
          </w:rPr>
          <w:t>inammissibilità</w:t>
        </w:r>
      </w:hyperlink>
      <w:r w:rsidRPr="007D0085">
        <w:rPr>
          <w:rFonts w:asciiTheme="majorHAnsi" w:hAnsiTheme="majorHAnsi" w:cstheme="majorHAnsi"/>
          <w:i/>
          <w:sz w:val="20"/>
          <w:szCs w:val="20"/>
        </w:rPr>
        <w:t>, in modo chiaro, sintetico e specifico:</w:t>
      </w:r>
    </w:p>
    <w:p w:rsidR="00D328EC" w:rsidRPr="007D0085" w:rsidRDefault="00D328EC" w:rsidP="009B0221">
      <w:pP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rPr>
        <w:t>1) il capo della decisione di </w:t>
      </w:r>
      <w:hyperlink r:id="rId3">
        <w:r w:rsidRPr="007D0085">
          <w:rPr>
            <w:rFonts w:asciiTheme="majorHAnsi" w:hAnsiTheme="majorHAnsi" w:cstheme="majorHAnsi"/>
            <w:i/>
            <w:sz w:val="20"/>
            <w:szCs w:val="20"/>
          </w:rPr>
          <w:t>primo grado</w:t>
        </w:r>
      </w:hyperlink>
      <w:r w:rsidRPr="007D0085">
        <w:rPr>
          <w:rFonts w:asciiTheme="majorHAnsi" w:hAnsiTheme="majorHAnsi" w:cstheme="majorHAnsi"/>
          <w:i/>
          <w:sz w:val="20"/>
          <w:szCs w:val="20"/>
        </w:rPr>
        <w:t> che viene impugnato;</w:t>
      </w:r>
    </w:p>
    <w:p w:rsidR="00D328EC" w:rsidRPr="007D0085" w:rsidRDefault="00D328EC" w:rsidP="009B0221">
      <w:pP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rPr>
        <w:t>2) le censure proposte alla ricostruzione dei fatti compiuta dal giudice di primo grado;</w:t>
      </w:r>
    </w:p>
    <w:p w:rsidR="00D328EC" w:rsidRPr="007D0085" w:rsidRDefault="00D328EC" w:rsidP="009B0221">
      <w:pP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rPr>
        <w:t>3) le violazioni di legge denunciate e la loro rilevanza ai fini della decisione impugnata.</w:t>
      </w:r>
    </w:p>
    <w:p w:rsidR="00D328EC" w:rsidRPr="007D0085" w:rsidRDefault="00D328EC" w:rsidP="009B0221">
      <w:pP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rPr>
        <w:t>Il</w:t>
      </w:r>
      <w:r w:rsidR="008A0212" w:rsidRPr="007D0085">
        <w:rPr>
          <w:rFonts w:asciiTheme="majorHAnsi" w:hAnsiTheme="majorHAnsi" w:cstheme="majorHAnsi"/>
          <w:i/>
          <w:sz w:val="20"/>
          <w:szCs w:val="20"/>
        </w:rPr>
        <w:t xml:space="preserve"> </w:t>
      </w:r>
      <w:r w:rsidRPr="007D0085">
        <w:rPr>
          <w:rFonts w:asciiTheme="majorHAnsi" w:hAnsiTheme="majorHAnsi" w:cstheme="majorHAnsi"/>
          <w:i/>
          <w:sz w:val="20"/>
          <w:szCs w:val="20"/>
        </w:rPr>
        <w:t>ricorso deve essere depositato nella </w:t>
      </w:r>
      <w:hyperlink r:id="rId4">
        <w:r w:rsidRPr="007D0085">
          <w:rPr>
            <w:rFonts w:asciiTheme="majorHAnsi" w:hAnsiTheme="majorHAnsi" w:cstheme="majorHAnsi"/>
            <w:i/>
            <w:sz w:val="20"/>
            <w:szCs w:val="20"/>
          </w:rPr>
          <w:t>cancelleria</w:t>
        </w:r>
      </w:hyperlink>
      <w:r w:rsidRPr="007D0085">
        <w:rPr>
          <w:rFonts w:asciiTheme="majorHAnsi" w:hAnsiTheme="majorHAnsi" w:cstheme="majorHAnsi"/>
          <w:i/>
          <w:sz w:val="20"/>
          <w:szCs w:val="20"/>
        </w:rPr>
        <w:t> della </w:t>
      </w:r>
      <w:hyperlink r:id="rId5">
        <w:r w:rsidRPr="007D0085">
          <w:rPr>
            <w:rFonts w:asciiTheme="majorHAnsi" w:hAnsiTheme="majorHAnsi" w:cstheme="majorHAnsi"/>
            <w:i/>
            <w:sz w:val="20"/>
            <w:szCs w:val="20"/>
          </w:rPr>
          <w:t>Corte di appello</w:t>
        </w:r>
      </w:hyperlink>
      <w:r w:rsidRPr="007D0085">
        <w:rPr>
          <w:rFonts w:asciiTheme="majorHAnsi" w:hAnsiTheme="majorHAnsi" w:cstheme="majorHAnsi"/>
          <w:i/>
          <w:sz w:val="20"/>
          <w:szCs w:val="20"/>
        </w:rPr>
        <w:t> entro trenta giorni dalla </w:t>
      </w:r>
      <w:hyperlink r:id="rId6">
        <w:r w:rsidRPr="007D0085">
          <w:rPr>
            <w:rFonts w:asciiTheme="majorHAnsi" w:hAnsiTheme="majorHAnsi" w:cstheme="majorHAnsi"/>
            <w:i/>
            <w:sz w:val="20"/>
            <w:szCs w:val="20"/>
          </w:rPr>
          <w:t>notificazione</w:t>
        </w:r>
      </w:hyperlink>
      <w:r w:rsidRPr="007D0085">
        <w:rPr>
          <w:rFonts w:asciiTheme="majorHAnsi" w:hAnsiTheme="majorHAnsi" w:cstheme="majorHAnsi"/>
          <w:i/>
          <w:sz w:val="20"/>
          <w:szCs w:val="20"/>
        </w:rPr>
        <w:t> della </w:t>
      </w:r>
      <w:hyperlink r:id="rId7">
        <w:r w:rsidRPr="007D0085">
          <w:rPr>
            <w:rFonts w:asciiTheme="majorHAnsi" w:hAnsiTheme="majorHAnsi" w:cstheme="majorHAnsi"/>
            <w:i/>
            <w:sz w:val="20"/>
            <w:szCs w:val="20"/>
          </w:rPr>
          <w:t>sentenza</w:t>
        </w:r>
      </w:hyperlink>
      <w:r w:rsidRPr="007D0085">
        <w:rPr>
          <w:rFonts w:asciiTheme="majorHAnsi" w:hAnsiTheme="majorHAnsi" w:cstheme="majorHAnsi"/>
          <w:i/>
          <w:sz w:val="20"/>
          <w:szCs w:val="20"/>
        </w:rPr>
        <w:t>, oppure entro quaranta giorni nel caso in cui la notificazione abbia dovuto effettuarsi all'estero.</w:t>
      </w:r>
    </w:p>
  </w:footnote>
  <w:footnote w:id="23">
    <w:p w:rsidR="00D328EC" w:rsidRPr="007D0085"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vertAlign w:val="superscript"/>
        </w:rPr>
        <w:footnoteRef/>
      </w:r>
      <w:r w:rsidRPr="007D0085">
        <w:rPr>
          <w:rFonts w:asciiTheme="majorHAnsi" w:hAnsiTheme="majorHAnsi" w:cstheme="majorHAnsi"/>
          <w:i/>
          <w:sz w:val="20"/>
          <w:szCs w:val="20"/>
        </w:rPr>
        <w:t xml:space="preserve"> In questi termini, la Relazione illustrativa del d.lgs. n. 149/2022, p. 46, che richiama 2, il criterio di delega di cui al comma 10, lettera c) dell’unico articolo della legge delega n. 206/2021.</w:t>
      </w:r>
    </w:p>
    <w:p w:rsidR="008A0212" w:rsidRPr="008A0212" w:rsidRDefault="00D328EC" w:rsidP="009B0221">
      <w:pPr>
        <w:pBdr>
          <w:top w:val="nil"/>
          <w:left w:val="nil"/>
          <w:bottom w:val="nil"/>
          <w:right w:val="nil"/>
          <w:between w:val="nil"/>
        </w:pBdr>
        <w:spacing w:after="0" w:line="240" w:lineRule="auto"/>
        <w:ind w:firstLine="425"/>
        <w:jc w:val="both"/>
        <w:rPr>
          <w:rFonts w:asciiTheme="majorHAnsi" w:hAnsiTheme="majorHAnsi" w:cstheme="majorHAnsi"/>
          <w:bCs/>
          <w:sz w:val="20"/>
          <w:szCs w:val="20"/>
        </w:rPr>
      </w:pPr>
      <w:r w:rsidRPr="00DF1C01">
        <w:rPr>
          <w:rFonts w:asciiTheme="majorHAnsi" w:hAnsiTheme="majorHAnsi" w:cstheme="majorHAnsi"/>
          <w:b/>
          <w:sz w:val="20"/>
          <w:szCs w:val="20"/>
        </w:rPr>
        <w:t>Art. 342</w:t>
      </w:r>
      <w:r w:rsidR="008A6FBC">
        <w:rPr>
          <w:rFonts w:asciiTheme="majorHAnsi" w:hAnsiTheme="majorHAnsi" w:cstheme="majorHAnsi"/>
          <w:b/>
          <w:sz w:val="20"/>
          <w:szCs w:val="20"/>
        </w:rPr>
        <w:t>, co. 1,</w:t>
      </w:r>
      <w:r w:rsidRPr="00DF1C01">
        <w:rPr>
          <w:rFonts w:asciiTheme="majorHAnsi" w:hAnsiTheme="majorHAnsi" w:cstheme="majorHAnsi"/>
          <w:b/>
          <w:sz w:val="20"/>
          <w:szCs w:val="20"/>
        </w:rPr>
        <w:t xml:space="preserve"> c.p.c.</w:t>
      </w:r>
      <w:r w:rsidR="008A0212" w:rsidRPr="008A0212">
        <w:rPr>
          <w:rFonts w:asciiTheme="majorHAnsi" w:hAnsiTheme="majorHAnsi" w:cstheme="majorHAnsi"/>
          <w:b/>
          <w:sz w:val="20"/>
          <w:szCs w:val="20"/>
        </w:rPr>
        <w:t xml:space="preserve"> </w:t>
      </w:r>
      <w:r w:rsidR="008A0212" w:rsidRPr="008A0212">
        <w:rPr>
          <w:rFonts w:asciiTheme="majorHAnsi" w:hAnsiTheme="majorHAnsi" w:cstheme="majorHAnsi"/>
          <w:bCs/>
          <w:sz w:val="20"/>
          <w:szCs w:val="20"/>
        </w:rPr>
        <w:t>“Forma dell</w:t>
      </w:r>
      <w:r w:rsidR="008A0212">
        <w:rPr>
          <w:rFonts w:asciiTheme="majorHAnsi" w:hAnsiTheme="majorHAnsi" w:cstheme="majorHAnsi"/>
          <w:bCs/>
          <w:sz w:val="20"/>
          <w:szCs w:val="20"/>
        </w:rPr>
        <w:t>’</w:t>
      </w:r>
      <w:r w:rsidR="008A0212" w:rsidRPr="008A0212">
        <w:rPr>
          <w:rFonts w:asciiTheme="majorHAnsi" w:hAnsiTheme="majorHAnsi" w:cstheme="majorHAnsi"/>
          <w:bCs/>
          <w:sz w:val="20"/>
          <w:szCs w:val="20"/>
        </w:rPr>
        <w:t>appello”</w:t>
      </w:r>
      <w:r w:rsidRPr="008A0212">
        <w:rPr>
          <w:rFonts w:asciiTheme="majorHAnsi" w:hAnsiTheme="majorHAnsi" w:cstheme="majorHAnsi"/>
          <w:bCs/>
          <w:sz w:val="20"/>
          <w:szCs w:val="20"/>
        </w:rPr>
        <w:t xml:space="preserve">: </w:t>
      </w:r>
    </w:p>
    <w:p w:rsidR="00D328EC" w:rsidRPr="007D0085"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bCs/>
          <w:i/>
          <w:sz w:val="20"/>
          <w:szCs w:val="20"/>
        </w:rPr>
        <w:t>L</w:t>
      </w:r>
      <w:r w:rsidR="008A0212" w:rsidRPr="007D0085">
        <w:rPr>
          <w:rFonts w:asciiTheme="majorHAnsi" w:hAnsiTheme="majorHAnsi" w:cstheme="majorHAnsi"/>
          <w:bCs/>
          <w:i/>
          <w:sz w:val="20"/>
          <w:szCs w:val="20"/>
        </w:rPr>
        <w:t>’</w:t>
      </w:r>
      <w:r w:rsidRPr="007D0085">
        <w:rPr>
          <w:rFonts w:asciiTheme="majorHAnsi" w:hAnsiTheme="majorHAnsi" w:cstheme="majorHAnsi"/>
          <w:bCs/>
          <w:i/>
          <w:sz w:val="20"/>
          <w:szCs w:val="20"/>
        </w:rPr>
        <w:t>appello si propone con citazione contenente</w:t>
      </w:r>
      <w:r w:rsidRPr="007D0085">
        <w:rPr>
          <w:rFonts w:asciiTheme="majorHAnsi" w:hAnsiTheme="majorHAnsi" w:cstheme="majorHAnsi"/>
          <w:i/>
          <w:sz w:val="20"/>
          <w:szCs w:val="20"/>
        </w:rPr>
        <w:t xml:space="preserve"> le indicazioni prescritte nell'articolo 163. L'appello deve essere motivato, e per ciascuno dei motivi deve indicare a pena di inammissibilità, in modo chiaro, sintetico e specifico:</w:t>
      </w:r>
    </w:p>
    <w:p w:rsidR="00D328EC" w:rsidRPr="007D0085" w:rsidRDefault="00D328EC" w:rsidP="009B0221">
      <w:pP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rPr>
        <w:t>1) il capo della decisione di primo grado che viene impugnato;</w:t>
      </w:r>
    </w:p>
    <w:p w:rsidR="00D328EC" w:rsidRPr="007D0085" w:rsidRDefault="00D328EC" w:rsidP="009B0221">
      <w:pP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rPr>
        <w:t>2) le censure proposte alla ricostruzione dei fatti compiuta dal giudice di primo grado;</w:t>
      </w:r>
    </w:p>
    <w:p w:rsidR="00D328EC" w:rsidRPr="007D0085" w:rsidRDefault="00D328EC" w:rsidP="009B0221">
      <w:pP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rPr>
        <w:t>3) le violazioni di legge denunciate e la loro rilevanza ai fini della decisione impugnata.</w:t>
      </w:r>
    </w:p>
  </w:footnote>
  <w:footnote w:id="24">
    <w:p w:rsidR="008A0212" w:rsidRDefault="00D328EC" w:rsidP="009B0221">
      <w:pPr>
        <w:pBdr>
          <w:top w:val="nil"/>
          <w:left w:val="nil"/>
          <w:bottom w:val="nil"/>
          <w:right w:val="nil"/>
          <w:between w:val="nil"/>
        </w:pBdr>
        <w:spacing w:after="0" w:line="240" w:lineRule="auto"/>
        <w:ind w:firstLine="425"/>
        <w:jc w:val="both"/>
        <w:rPr>
          <w:rFonts w:asciiTheme="majorHAnsi" w:hAnsiTheme="majorHAnsi" w:cstheme="majorHAnsi"/>
          <w:sz w:val="20"/>
          <w:szCs w:val="20"/>
        </w:rPr>
      </w:pPr>
      <w:r w:rsidRPr="00DF1C01">
        <w:rPr>
          <w:rFonts w:asciiTheme="majorHAnsi" w:hAnsiTheme="majorHAnsi" w:cstheme="majorHAnsi"/>
          <w:sz w:val="20"/>
          <w:szCs w:val="20"/>
          <w:vertAlign w:val="superscript"/>
        </w:rPr>
        <w:footnoteRef/>
      </w:r>
      <w:r w:rsidRPr="00DF1C01">
        <w:rPr>
          <w:rFonts w:asciiTheme="majorHAnsi" w:hAnsiTheme="majorHAnsi" w:cstheme="majorHAnsi"/>
          <w:sz w:val="20"/>
          <w:szCs w:val="20"/>
        </w:rPr>
        <w:t xml:space="preserve"> </w:t>
      </w:r>
      <w:r w:rsidRPr="00DF1C01">
        <w:rPr>
          <w:rFonts w:asciiTheme="majorHAnsi" w:hAnsiTheme="majorHAnsi" w:cstheme="majorHAnsi"/>
          <w:b/>
          <w:sz w:val="20"/>
          <w:szCs w:val="20"/>
        </w:rPr>
        <w:t xml:space="preserve">Art. 436 </w:t>
      </w:r>
      <w:r w:rsidRPr="00DF1C01">
        <w:rPr>
          <w:rFonts w:asciiTheme="majorHAnsi" w:hAnsiTheme="majorHAnsi" w:cstheme="majorHAnsi"/>
          <w:b/>
          <w:i/>
          <w:sz w:val="20"/>
          <w:szCs w:val="20"/>
        </w:rPr>
        <w:t>bis</w:t>
      </w:r>
      <w:r w:rsidRPr="00DF1C01">
        <w:rPr>
          <w:rFonts w:asciiTheme="majorHAnsi" w:hAnsiTheme="majorHAnsi" w:cstheme="majorHAnsi"/>
          <w:b/>
          <w:sz w:val="20"/>
          <w:szCs w:val="20"/>
        </w:rPr>
        <w:t xml:space="preserve"> c.p.c.</w:t>
      </w:r>
      <w:r w:rsidRPr="00DF1C01">
        <w:rPr>
          <w:rFonts w:asciiTheme="majorHAnsi" w:hAnsiTheme="majorHAnsi" w:cstheme="majorHAnsi"/>
          <w:sz w:val="20"/>
          <w:szCs w:val="20"/>
        </w:rPr>
        <w:t xml:space="preserve"> “</w:t>
      </w:r>
      <w:r w:rsidR="008A0212" w:rsidRPr="008A0212">
        <w:rPr>
          <w:rFonts w:asciiTheme="majorHAnsi" w:hAnsiTheme="majorHAnsi" w:cstheme="majorHAnsi"/>
          <w:sz w:val="20"/>
          <w:szCs w:val="20"/>
        </w:rPr>
        <w:t>Inammissibilità, improcedibilità, manifesta fondatezza o infondatezza dell</w:t>
      </w:r>
      <w:r w:rsidR="008A0212">
        <w:rPr>
          <w:rFonts w:asciiTheme="majorHAnsi" w:hAnsiTheme="majorHAnsi" w:cstheme="majorHAnsi"/>
          <w:sz w:val="20"/>
          <w:szCs w:val="20"/>
        </w:rPr>
        <w:t>’</w:t>
      </w:r>
      <w:r w:rsidR="008A0212" w:rsidRPr="008A0212">
        <w:rPr>
          <w:rFonts w:asciiTheme="majorHAnsi" w:hAnsiTheme="majorHAnsi" w:cstheme="majorHAnsi"/>
          <w:sz w:val="20"/>
          <w:szCs w:val="20"/>
        </w:rPr>
        <w:t>appello</w:t>
      </w:r>
      <w:r w:rsidR="008A0212">
        <w:rPr>
          <w:rFonts w:asciiTheme="majorHAnsi" w:hAnsiTheme="majorHAnsi" w:cstheme="majorHAnsi"/>
          <w:sz w:val="20"/>
          <w:szCs w:val="20"/>
        </w:rPr>
        <w:t>”:</w:t>
      </w:r>
    </w:p>
    <w:p w:rsidR="00D328EC" w:rsidRPr="007D0085"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7D0085">
        <w:rPr>
          <w:rFonts w:asciiTheme="majorHAnsi" w:hAnsiTheme="majorHAnsi" w:cstheme="majorHAnsi"/>
          <w:i/>
          <w:sz w:val="20"/>
          <w:szCs w:val="20"/>
        </w:rPr>
        <w:t>Nei casi previsti dagli articoli 348, 348 bis e 350, terzo comma, all</w:t>
      </w:r>
      <w:r w:rsidR="008A0212" w:rsidRPr="007D0085">
        <w:rPr>
          <w:rFonts w:asciiTheme="majorHAnsi" w:hAnsiTheme="majorHAnsi" w:cstheme="majorHAnsi"/>
          <w:i/>
          <w:sz w:val="20"/>
          <w:szCs w:val="20"/>
        </w:rPr>
        <w:t>’</w:t>
      </w:r>
      <w:r w:rsidRPr="007D0085">
        <w:rPr>
          <w:rFonts w:asciiTheme="majorHAnsi" w:hAnsiTheme="majorHAnsi" w:cstheme="majorHAnsi"/>
          <w:i/>
          <w:sz w:val="20"/>
          <w:szCs w:val="20"/>
        </w:rPr>
        <w:t>udienza di discussione il collegio, sentiti i difensori delle parti, pronuncia sentenza dando lettura del dispositivo e della motivazione redatta in forma sintetica, anche mediante esclusivo riferimento al punto di fatto o alla questione di diritto ritenuti risolutivi o mediante rinvio a precedenti conformi.</w:t>
      </w:r>
    </w:p>
  </w:footnote>
  <w:footnote w:id="25">
    <w:p w:rsidR="008A0212" w:rsidRDefault="00D328EC" w:rsidP="009B0221">
      <w:pPr>
        <w:pBdr>
          <w:top w:val="nil"/>
          <w:left w:val="nil"/>
          <w:bottom w:val="nil"/>
          <w:right w:val="nil"/>
          <w:between w:val="nil"/>
        </w:pBdr>
        <w:spacing w:after="0" w:line="240" w:lineRule="auto"/>
        <w:ind w:firstLine="425"/>
        <w:jc w:val="both"/>
        <w:rPr>
          <w:rFonts w:asciiTheme="majorHAnsi" w:hAnsiTheme="majorHAnsi" w:cstheme="majorHAnsi"/>
          <w:sz w:val="20"/>
          <w:szCs w:val="20"/>
        </w:rPr>
      </w:pPr>
      <w:r w:rsidRPr="00DF1C01">
        <w:rPr>
          <w:rFonts w:asciiTheme="majorHAnsi" w:hAnsiTheme="majorHAnsi" w:cstheme="majorHAnsi"/>
          <w:sz w:val="20"/>
          <w:szCs w:val="20"/>
          <w:vertAlign w:val="superscript"/>
        </w:rPr>
        <w:footnoteRef/>
      </w:r>
      <w:r w:rsidRPr="00DF1C01">
        <w:rPr>
          <w:rFonts w:asciiTheme="majorHAnsi" w:hAnsiTheme="majorHAnsi" w:cstheme="majorHAnsi"/>
          <w:sz w:val="20"/>
          <w:szCs w:val="20"/>
        </w:rPr>
        <w:t xml:space="preserve"> </w:t>
      </w:r>
      <w:r w:rsidRPr="00DF1C01">
        <w:rPr>
          <w:rFonts w:asciiTheme="majorHAnsi" w:hAnsiTheme="majorHAnsi" w:cstheme="majorHAnsi"/>
          <w:b/>
          <w:sz w:val="20"/>
          <w:szCs w:val="20"/>
        </w:rPr>
        <w:t>Art. 450, co</w:t>
      </w:r>
      <w:r w:rsidR="008A0212">
        <w:rPr>
          <w:rFonts w:asciiTheme="majorHAnsi" w:hAnsiTheme="majorHAnsi" w:cstheme="majorHAnsi"/>
          <w:b/>
          <w:sz w:val="20"/>
          <w:szCs w:val="20"/>
        </w:rPr>
        <w:t>. 3,</w:t>
      </w:r>
      <w:r w:rsidRPr="00DF1C01">
        <w:rPr>
          <w:rFonts w:asciiTheme="majorHAnsi" w:hAnsiTheme="majorHAnsi" w:cstheme="majorHAnsi"/>
          <w:b/>
          <w:sz w:val="20"/>
          <w:szCs w:val="20"/>
        </w:rPr>
        <w:t xml:space="preserve"> c.p.c.</w:t>
      </w:r>
      <w:r w:rsidRPr="00DF1C01">
        <w:rPr>
          <w:rFonts w:asciiTheme="majorHAnsi" w:hAnsiTheme="majorHAnsi" w:cstheme="majorHAnsi"/>
          <w:sz w:val="20"/>
          <w:szCs w:val="20"/>
        </w:rPr>
        <w:t xml:space="preserve"> </w:t>
      </w:r>
      <w:r w:rsidR="008A0212">
        <w:rPr>
          <w:rFonts w:asciiTheme="majorHAnsi" w:hAnsiTheme="majorHAnsi" w:cstheme="majorHAnsi"/>
          <w:sz w:val="20"/>
          <w:szCs w:val="20"/>
        </w:rPr>
        <w:t>“</w:t>
      </w:r>
      <w:r w:rsidR="008A0212" w:rsidRPr="008A0212">
        <w:rPr>
          <w:rFonts w:asciiTheme="majorHAnsi" w:hAnsiTheme="majorHAnsi" w:cstheme="majorHAnsi"/>
          <w:sz w:val="20"/>
          <w:szCs w:val="20"/>
        </w:rPr>
        <w:t>Instaurazione del giudizio direttissimo</w:t>
      </w:r>
      <w:r w:rsidR="008A0212">
        <w:rPr>
          <w:rFonts w:asciiTheme="majorHAnsi" w:hAnsiTheme="majorHAnsi" w:cstheme="majorHAnsi"/>
          <w:sz w:val="20"/>
          <w:szCs w:val="20"/>
        </w:rPr>
        <w:t>”:</w:t>
      </w:r>
    </w:p>
    <w:p w:rsidR="00D328EC" w:rsidRPr="00F5280C"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F5280C">
        <w:rPr>
          <w:rFonts w:asciiTheme="majorHAnsi" w:hAnsiTheme="majorHAnsi" w:cstheme="majorHAnsi"/>
          <w:i/>
          <w:sz w:val="20"/>
          <w:szCs w:val="20"/>
        </w:rPr>
        <w:t xml:space="preserve">Quando rileva che ricorre l'ipotesi di cui all'articolo 348 </w:t>
      </w:r>
      <w:r w:rsidRPr="00F5280C">
        <w:rPr>
          <w:rFonts w:asciiTheme="majorHAnsi" w:hAnsiTheme="majorHAnsi" w:cstheme="majorHAnsi"/>
          <w:i/>
          <w:iCs/>
          <w:sz w:val="20"/>
          <w:szCs w:val="20"/>
        </w:rPr>
        <w:t>bis</w:t>
      </w:r>
      <w:r w:rsidRPr="00F5280C">
        <w:rPr>
          <w:rFonts w:asciiTheme="majorHAnsi" w:hAnsiTheme="majorHAnsi" w:cstheme="majorHAnsi"/>
          <w:i/>
          <w:sz w:val="20"/>
          <w:szCs w:val="20"/>
        </w:rPr>
        <w:t> il giudice, sentite le parti, dispone la discussione orale della causa ai sensi dell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articolo 350 bis. Allo stesso modo può provvedere quando 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impugnazione appare manifestamente fondata, o comunque quando lo ritenga opportuno in ragione della ridotta complessità o dell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urgenza della causa.</w:t>
      </w:r>
    </w:p>
  </w:footnote>
  <w:footnote w:id="26">
    <w:p w:rsidR="008A0212" w:rsidRDefault="00D328EC" w:rsidP="009B0221">
      <w:pPr>
        <w:pBdr>
          <w:top w:val="nil"/>
          <w:left w:val="nil"/>
          <w:bottom w:val="nil"/>
          <w:right w:val="nil"/>
          <w:between w:val="nil"/>
        </w:pBdr>
        <w:spacing w:after="0" w:line="240" w:lineRule="auto"/>
        <w:ind w:firstLine="425"/>
        <w:jc w:val="both"/>
        <w:rPr>
          <w:rFonts w:asciiTheme="majorHAnsi" w:hAnsiTheme="majorHAnsi" w:cstheme="majorHAnsi"/>
          <w:sz w:val="20"/>
          <w:szCs w:val="20"/>
        </w:rPr>
      </w:pPr>
      <w:r w:rsidRPr="00DF1C01">
        <w:rPr>
          <w:rFonts w:asciiTheme="majorHAnsi" w:hAnsiTheme="majorHAnsi" w:cstheme="majorHAnsi"/>
          <w:sz w:val="20"/>
          <w:szCs w:val="20"/>
          <w:vertAlign w:val="superscript"/>
        </w:rPr>
        <w:footnoteRef/>
      </w:r>
      <w:r w:rsidRPr="00DF1C01">
        <w:rPr>
          <w:rFonts w:asciiTheme="majorHAnsi" w:eastAsia="Times New Roman" w:hAnsiTheme="majorHAnsi" w:cstheme="majorHAnsi"/>
          <w:sz w:val="20"/>
          <w:szCs w:val="20"/>
        </w:rPr>
        <w:t xml:space="preserve"> </w:t>
      </w:r>
      <w:r w:rsidRPr="00DF1C01">
        <w:rPr>
          <w:rFonts w:asciiTheme="majorHAnsi" w:hAnsiTheme="majorHAnsi" w:cstheme="majorHAnsi"/>
          <w:b/>
          <w:sz w:val="20"/>
          <w:szCs w:val="20"/>
        </w:rPr>
        <w:t>Art. 437 c.p.c.</w:t>
      </w:r>
      <w:r w:rsidRPr="00DF1C01">
        <w:rPr>
          <w:rFonts w:asciiTheme="majorHAnsi" w:hAnsiTheme="majorHAnsi" w:cstheme="majorHAnsi"/>
          <w:sz w:val="20"/>
          <w:szCs w:val="20"/>
        </w:rPr>
        <w:t xml:space="preserve"> “</w:t>
      </w:r>
      <w:r w:rsidR="008A0212" w:rsidRPr="008A0212">
        <w:rPr>
          <w:rFonts w:asciiTheme="majorHAnsi" w:hAnsiTheme="majorHAnsi" w:cstheme="majorHAnsi"/>
          <w:sz w:val="20"/>
          <w:szCs w:val="20"/>
        </w:rPr>
        <w:t>Udienza di discussione</w:t>
      </w:r>
      <w:r w:rsidR="008A0212">
        <w:rPr>
          <w:rFonts w:asciiTheme="majorHAnsi" w:hAnsiTheme="majorHAnsi" w:cstheme="majorHAnsi"/>
          <w:sz w:val="20"/>
          <w:szCs w:val="20"/>
        </w:rPr>
        <w:t>”:</w:t>
      </w:r>
    </w:p>
    <w:p w:rsidR="00D328EC" w:rsidRPr="00F5280C"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F5280C">
        <w:rPr>
          <w:rFonts w:asciiTheme="majorHAnsi" w:hAnsiTheme="majorHAnsi" w:cstheme="majorHAnsi"/>
          <w:i/>
          <w:sz w:val="20"/>
          <w:szCs w:val="20"/>
        </w:rPr>
        <w:t>Nell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udienza il giudice incaricato fa la relazione orale della causa. Quando non provvede ai sensi dell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articolo 436 bis, il collegio, sentiti i difensori delle parti, pronuncia sentenza dando lettura del dispositivo nella stessa udienza.</w:t>
      </w:r>
    </w:p>
    <w:p w:rsidR="00D328EC" w:rsidRPr="00F5280C"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F5280C">
        <w:rPr>
          <w:rFonts w:asciiTheme="majorHAnsi" w:hAnsiTheme="majorHAnsi" w:cstheme="majorHAnsi"/>
          <w:i/>
          <w:sz w:val="20"/>
          <w:szCs w:val="20"/>
        </w:rPr>
        <w:t>Non sono ammesse nuove domande ed eccezioni. Non sono ammessi nuovi mezzi di prova, tranne il giuramento estimatorio, salvo che il collegio, anche d</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ufficio, li ritenga indispensabili ai fini della decisione della causa. È salva la facoltà delle parti di deferire il giuramento decisorio in qualsiasi momento della causa.</w:t>
      </w:r>
    </w:p>
    <w:p w:rsidR="00D328EC" w:rsidRPr="00F5280C"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F5280C">
        <w:rPr>
          <w:rFonts w:asciiTheme="majorHAnsi" w:hAnsiTheme="majorHAnsi" w:cstheme="majorHAnsi"/>
          <w:i/>
          <w:sz w:val="20"/>
          <w:szCs w:val="20"/>
        </w:rPr>
        <w:t>Qualora ammetta le nuove prove, il collegio fissa, entro venti giorni, 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udienza nella quale esse debbono essere assunte e deve essere pronunziata la sentenza. In tal caso il collegio con la stessa ordinanza può adottare i provvedimenti di cui all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articolo 423.</w:t>
      </w:r>
    </w:p>
    <w:p w:rsidR="00D328EC" w:rsidRPr="00F5280C"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F5280C">
        <w:rPr>
          <w:rFonts w:asciiTheme="majorHAnsi" w:hAnsiTheme="majorHAnsi" w:cstheme="majorHAnsi"/>
          <w:i/>
          <w:sz w:val="20"/>
          <w:szCs w:val="20"/>
        </w:rPr>
        <w:t>Sono applicabili le disposizioni di cui ai commi secondo e terzo dell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articolo 429”.</w:t>
      </w:r>
    </w:p>
  </w:footnote>
  <w:footnote w:id="27">
    <w:p w:rsidR="008A0212" w:rsidRDefault="00D328EC" w:rsidP="009B0221">
      <w:pPr>
        <w:pBdr>
          <w:top w:val="nil"/>
          <w:left w:val="nil"/>
          <w:bottom w:val="nil"/>
          <w:right w:val="nil"/>
          <w:between w:val="nil"/>
        </w:pBdr>
        <w:spacing w:after="0" w:line="240" w:lineRule="auto"/>
        <w:ind w:firstLine="425"/>
        <w:jc w:val="both"/>
        <w:rPr>
          <w:rFonts w:asciiTheme="majorHAnsi" w:hAnsiTheme="majorHAnsi" w:cstheme="majorHAnsi"/>
          <w:sz w:val="20"/>
          <w:szCs w:val="20"/>
        </w:rPr>
      </w:pPr>
      <w:r w:rsidRPr="00DF1C01">
        <w:rPr>
          <w:rFonts w:asciiTheme="majorHAnsi" w:hAnsiTheme="majorHAnsi" w:cstheme="majorHAnsi"/>
          <w:sz w:val="20"/>
          <w:szCs w:val="20"/>
          <w:vertAlign w:val="superscript"/>
        </w:rPr>
        <w:footnoteRef/>
      </w:r>
      <w:r w:rsidRPr="00DF1C01">
        <w:rPr>
          <w:rFonts w:asciiTheme="majorHAnsi" w:eastAsia="Times New Roman" w:hAnsiTheme="majorHAnsi" w:cstheme="majorHAnsi"/>
          <w:sz w:val="20"/>
          <w:szCs w:val="20"/>
        </w:rPr>
        <w:t xml:space="preserve"> </w:t>
      </w:r>
      <w:r w:rsidRPr="00DF1C01">
        <w:rPr>
          <w:rFonts w:asciiTheme="majorHAnsi" w:hAnsiTheme="majorHAnsi" w:cstheme="majorHAnsi"/>
          <w:b/>
          <w:sz w:val="20"/>
          <w:szCs w:val="20"/>
        </w:rPr>
        <w:t>Art. 438 c.p.c.</w:t>
      </w:r>
      <w:r w:rsidR="008A0212">
        <w:rPr>
          <w:rFonts w:asciiTheme="majorHAnsi" w:hAnsiTheme="majorHAnsi" w:cstheme="majorHAnsi"/>
          <w:sz w:val="20"/>
          <w:szCs w:val="20"/>
        </w:rPr>
        <w:t xml:space="preserve"> “</w:t>
      </w:r>
      <w:r w:rsidR="008A0212" w:rsidRPr="008A0212">
        <w:rPr>
          <w:rFonts w:asciiTheme="majorHAnsi" w:hAnsiTheme="majorHAnsi" w:cstheme="majorHAnsi"/>
          <w:sz w:val="20"/>
          <w:szCs w:val="20"/>
        </w:rPr>
        <w:t>Deposito della sentenza di appello</w:t>
      </w:r>
      <w:r w:rsidR="008A0212">
        <w:rPr>
          <w:rFonts w:asciiTheme="majorHAnsi" w:hAnsiTheme="majorHAnsi" w:cstheme="majorHAnsi"/>
          <w:sz w:val="20"/>
          <w:szCs w:val="20"/>
        </w:rPr>
        <w:t>”:</w:t>
      </w:r>
    </w:p>
    <w:p w:rsidR="00D328EC" w:rsidRPr="00F5280C" w:rsidRDefault="00D328EC" w:rsidP="009B0221">
      <w:pPr>
        <w:pBdr>
          <w:top w:val="nil"/>
          <w:left w:val="nil"/>
          <w:bottom w:val="nil"/>
          <w:right w:val="nil"/>
          <w:between w:val="nil"/>
        </w:pBdr>
        <w:spacing w:after="0" w:line="240" w:lineRule="auto"/>
        <w:ind w:firstLine="425"/>
        <w:jc w:val="both"/>
        <w:rPr>
          <w:rFonts w:asciiTheme="majorHAnsi" w:hAnsiTheme="majorHAnsi" w:cstheme="majorHAnsi"/>
          <w:i/>
          <w:sz w:val="20"/>
          <w:szCs w:val="20"/>
        </w:rPr>
      </w:pPr>
      <w:r w:rsidRPr="00F5280C">
        <w:rPr>
          <w:rFonts w:asciiTheme="majorHAnsi" w:hAnsiTheme="majorHAnsi" w:cstheme="majorHAnsi"/>
          <w:i/>
          <w:sz w:val="20"/>
          <w:szCs w:val="20"/>
        </w:rPr>
        <w:t>Fuori dei casi di cui all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articolo 436 bis, la sentenza deve essere depositata entro sessanta giorni dalla pronuncia. Il cancelliere ne dà immediata comunicazione alle parti.</w:t>
      </w:r>
    </w:p>
    <w:p w:rsidR="00D328EC" w:rsidRPr="00DF1C01" w:rsidRDefault="00D328EC" w:rsidP="009B0221">
      <w:pPr>
        <w:pBdr>
          <w:top w:val="nil"/>
          <w:left w:val="nil"/>
          <w:bottom w:val="nil"/>
          <w:right w:val="nil"/>
          <w:between w:val="nil"/>
        </w:pBdr>
        <w:spacing w:after="0" w:line="240" w:lineRule="auto"/>
        <w:ind w:firstLine="425"/>
        <w:jc w:val="both"/>
        <w:rPr>
          <w:rFonts w:asciiTheme="majorHAnsi" w:hAnsiTheme="majorHAnsi" w:cstheme="majorHAnsi"/>
          <w:sz w:val="20"/>
          <w:szCs w:val="20"/>
        </w:rPr>
      </w:pPr>
      <w:r w:rsidRPr="00F5280C">
        <w:rPr>
          <w:rFonts w:asciiTheme="majorHAnsi" w:hAnsiTheme="majorHAnsi" w:cstheme="majorHAnsi"/>
          <w:i/>
          <w:sz w:val="20"/>
          <w:szCs w:val="20"/>
        </w:rPr>
        <w:t>Si applica il disposto del secondo comma dell</w:t>
      </w:r>
      <w:r w:rsidR="008A0212" w:rsidRPr="00F5280C">
        <w:rPr>
          <w:rFonts w:asciiTheme="majorHAnsi" w:hAnsiTheme="majorHAnsi" w:cstheme="majorHAnsi"/>
          <w:i/>
          <w:sz w:val="20"/>
          <w:szCs w:val="20"/>
        </w:rPr>
        <w:t>’</w:t>
      </w:r>
      <w:r w:rsidRPr="00F5280C">
        <w:rPr>
          <w:rFonts w:asciiTheme="majorHAnsi" w:hAnsiTheme="majorHAnsi" w:cstheme="majorHAnsi"/>
          <w:i/>
          <w:sz w:val="20"/>
          <w:szCs w:val="20"/>
        </w:rPr>
        <w:t>articolo 431.</w:t>
      </w:r>
    </w:p>
  </w:footnote>
  <w:footnote w:id="28">
    <w:p w:rsidR="00D328EC" w:rsidRPr="00DF1C01" w:rsidRDefault="00D328EC" w:rsidP="009B0221">
      <w:pPr>
        <w:pBdr>
          <w:top w:val="nil"/>
          <w:left w:val="nil"/>
          <w:bottom w:val="nil"/>
          <w:right w:val="nil"/>
          <w:between w:val="nil"/>
        </w:pBdr>
        <w:spacing w:after="0" w:line="240" w:lineRule="auto"/>
        <w:ind w:firstLine="425"/>
        <w:jc w:val="both"/>
        <w:rPr>
          <w:rFonts w:asciiTheme="majorHAnsi" w:hAnsiTheme="majorHAnsi" w:cstheme="majorHAnsi"/>
          <w:sz w:val="20"/>
          <w:szCs w:val="20"/>
        </w:rPr>
      </w:pPr>
      <w:r w:rsidRPr="00DF1C01">
        <w:rPr>
          <w:rFonts w:asciiTheme="majorHAnsi" w:hAnsiTheme="majorHAnsi" w:cstheme="majorHAnsi"/>
          <w:sz w:val="20"/>
          <w:szCs w:val="20"/>
          <w:vertAlign w:val="superscript"/>
        </w:rPr>
        <w:footnoteRef/>
      </w:r>
      <w:r w:rsidRPr="00DF1C01">
        <w:rPr>
          <w:rFonts w:asciiTheme="majorHAnsi" w:hAnsiTheme="majorHAnsi" w:cstheme="majorHAnsi"/>
          <w:sz w:val="20"/>
          <w:szCs w:val="20"/>
        </w:rPr>
        <w:t xml:space="preserve"> La Relazione illustrativa, cit., 46 chiarisce che previsione del termine per il deposito di 60 giorni, risolve la contraddizione “– frutto di un difetto di coordinamento – tra l’articolo 429, primo comma, che consente il deposito delle motivazioni unitamente al dispositivo o entro un termine fissato dal giudice e non superiore a sessanta giorni, e l’articolo 430 c.p.c., a mente del quale la sentenza «deve essere depositata entro quindici giorni dalla pronuncia». Si è quindi prevista la soppressione di tale ultima disposizione, prevedendo al tempo stesso che il cancelliere dia comunicazione alle parti della sentenza quando questa è depositata fuori udienza (e non anche, quindi, nei casi in cui le motivazioni sono lette in udienza, in quanto in questo caso esse sono immediatamente note alle parti)”.</w:t>
      </w:r>
    </w:p>
  </w:footnote>
  <w:footnote w:id="29">
    <w:p w:rsidR="00D328EC" w:rsidRPr="00DF1C01" w:rsidRDefault="00D328EC" w:rsidP="009B0221">
      <w:pPr>
        <w:pBdr>
          <w:top w:val="nil"/>
          <w:left w:val="nil"/>
          <w:bottom w:val="nil"/>
          <w:right w:val="nil"/>
          <w:between w:val="nil"/>
        </w:pBdr>
        <w:spacing w:after="0" w:line="240" w:lineRule="auto"/>
        <w:ind w:firstLine="425"/>
        <w:jc w:val="both"/>
        <w:rPr>
          <w:rFonts w:asciiTheme="majorHAnsi" w:hAnsiTheme="majorHAnsi" w:cstheme="majorHAnsi"/>
          <w:sz w:val="20"/>
          <w:szCs w:val="20"/>
        </w:rPr>
      </w:pPr>
      <w:r w:rsidRPr="00DF1C01">
        <w:rPr>
          <w:rFonts w:asciiTheme="majorHAnsi" w:hAnsiTheme="majorHAnsi" w:cstheme="majorHAnsi"/>
          <w:sz w:val="20"/>
          <w:szCs w:val="20"/>
          <w:vertAlign w:val="superscript"/>
        </w:rPr>
        <w:footnoteRef/>
      </w:r>
      <w:r w:rsidRPr="00DF1C01">
        <w:rPr>
          <w:rFonts w:asciiTheme="majorHAnsi" w:hAnsiTheme="majorHAnsi" w:cstheme="majorHAnsi"/>
          <w:sz w:val="20"/>
          <w:szCs w:val="20"/>
        </w:rPr>
        <w:t xml:space="preserve"> Tali espressioni sono utilizzate dalla Relazione illustrativa, p. 47.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6CC" w:rsidRDefault="00B116CC">
    <w:pPr>
      <w:pBdr>
        <w:top w:val="nil"/>
        <w:left w:val="nil"/>
        <w:bottom w:val="nil"/>
        <w:right w:val="nil"/>
        <w:between w:val="nil"/>
      </w:pBdr>
      <w:tabs>
        <w:tab w:val="center" w:pos="4819"/>
        <w:tab w:val="right" w:pos="9638"/>
        <w:tab w:val="left" w:pos="2730"/>
      </w:tabs>
      <w:spacing w:after="0" w:line="240" w:lineRule="auto"/>
      <w:rPr>
        <w:color w:val="000000"/>
      </w:rPr>
    </w:pPr>
    <w:r>
      <w:rPr>
        <w:color w:val="000000"/>
      </w:rPr>
      <w:tab/>
    </w:r>
    <w:r>
      <w:rPr>
        <w:noProof/>
        <w:color w:val="000000"/>
      </w:rPr>
      <w:drawing>
        <wp:inline distT="0" distB="0" distL="0" distR="0">
          <wp:extent cx="6120130" cy="51689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516890"/>
                  </a:xfrm>
                  <a:prstGeom prst="rect">
                    <a:avLst/>
                  </a:prstGeom>
                  <a:ln/>
                </pic:spPr>
              </pic:pic>
            </a:graphicData>
          </a:graphic>
        </wp:inline>
      </w:drawing>
    </w:r>
  </w:p>
  <w:p w:rsidR="00B116CC" w:rsidRDefault="00B116CC">
    <w:pPr>
      <w:pBdr>
        <w:top w:val="nil"/>
        <w:left w:val="nil"/>
        <w:bottom w:val="nil"/>
        <w:right w:val="nil"/>
        <w:between w:val="nil"/>
      </w:pBdr>
      <w:tabs>
        <w:tab w:val="center" w:pos="4819"/>
        <w:tab w:val="right" w:pos="9638"/>
        <w:tab w:val="left" w:pos="2730"/>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649A"/>
    <w:multiLevelType w:val="hybridMultilevel"/>
    <w:tmpl w:val="45B83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465FFA"/>
    <w:multiLevelType w:val="hybridMultilevel"/>
    <w:tmpl w:val="69B25C5C"/>
    <w:lvl w:ilvl="0" w:tplc="DE44734A">
      <w:start w:val="1"/>
      <w:numFmt w:val="bullet"/>
      <w:lvlText w:val=""/>
      <w:lvlJc w:val="left"/>
      <w:pPr>
        <w:ind w:left="77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7231B6"/>
    <w:multiLevelType w:val="hybridMultilevel"/>
    <w:tmpl w:val="9ADA19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0AE05C17"/>
    <w:multiLevelType w:val="hybridMultilevel"/>
    <w:tmpl w:val="0D76B0BA"/>
    <w:lvl w:ilvl="0" w:tplc="0410000F">
      <w:start w:val="1"/>
      <w:numFmt w:val="decimal"/>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4">
    <w:nsid w:val="109A241E"/>
    <w:multiLevelType w:val="hybridMultilevel"/>
    <w:tmpl w:val="31E81946"/>
    <w:lvl w:ilvl="0" w:tplc="EC562C8A">
      <w:numFmt w:val="bullet"/>
      <w:lvlText w:val=""/>
      <w:lvlJc w:val="left"/>
      <w:pPr>
        <w:ind w:left="720" w:hanging="360"/>
      </w:pPr>
      <w:rPr>
        <w:rFonts w:ascii="Wingdings" w:eastAsia="Calibri" w:hAnsi="Wingding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A183A8F"/>
    <w:multiLevelType w:val="hybridMultilevel"/>
    <w:tmpl w:val="A27E6F3C"/>
    <w:lvl w:ilvl="0" w:tplc="14CE63C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AAD0B1E"/>
    <w:multiLevelType w:val="hybridMultilevel"/>
    <w:tmpl w:val="57ACDA6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7">
    <w:nsid w:val="1B582F9A"/>
    <w:multiLevelType w:val="multilevel"/>
    <w:tmpl w:val="EA1CD8DA"/>
    <w:lvl w:ilvl="0">
      <w:numFmt w:val="bullet"/>
      <w:lvlText w:val="-"/>
      <w:lvlJc w:val="left"/>
      <w:pPr>
        <w:ind w:left="720" w:hanging="360"/>
      </w:pPr>
      <w:rPr>
        <w:rFonts w:ascii="Calibri" w:eastAsia="Calibri" w:hAnsi="Calibri" w:cs="Calibri"/>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BE10727"/>
    <w:multiLevelType w:val="hybridMultilevel"/>
    <w:tmpl w:val="0FC2C214"/>
    <w:lvl w:ilvl="0" w:tplc="DE44734A">
      <w:start w:val="1"/>
      <w:numFmt w:val="bullet"/>
      <w:lvlText w:val=""/>
      <w:lvlJc w:val="left"/>
      <w:pPr>
        <w:ind w:left="820" w:hanging="360"/>
      </w:pPr>
      <w:rPr>
        <w:rFonts w:ascii="Symbol" w:hAnsi="Symbol" w:hint="default"/>
        <w:color w:val="auto"/>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9">
    <w:nsid w:val="2C740A0F"/>
    <w:multiLevelType w:val="hybridMultilevel"/>
    <w:tmpl w:val="2110A57E"/>
    <w:lvl w:ilvl="0" w:tplc="1E6C8106">
      <w:start w:val="1"/>
      <w:numFmt w:val="decimal"/>
      <w:lvlText w:val="%1."/>
      <w:lvlJc w:val="left"/>
      <w:pPr>
        <w:ind w:left="643" w:hanging="360"/>
      </w:pPr>
      <w:rPr>
        <w:rFonts w:hint="default"/>
        <w:b/>
      </w:rPr>
    </w:lvl>
    <w:lvl w:ilvl="1" w:tplc="04100003" w:tentative="1">
      <w:start w:val="1"/>
      <w:numFmt w:val="bullet"/>
      <w:lvlText w:val="o"/>
      <w:lvlJc w:val="left"/>
      <w:pPr>
        <w:ind w:left="1363" w:hanging="360"/>
      </w:pPr>
      <w:rPr>
        <w:rFonts w:ascii="Courier New" w:hAnsi="Courier New" w:cs="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10">
    <w:nsid w:val="32232B21"/>
    <w:multiLevelType w:val="hybridMultilevel"/>
    <w:tmpl w:val="B44C6BAE"/>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33F621B8"/>
    <w:multiLevelType w:val="hybridMultilevel"/>
    <w:tmpl w:val="8A44BF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3FC75DE"/>
    <w:multiLevelType w:val="hybridMultilevel"/>
    <w:tmpl w:val="152468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60770F"/>
    <w:multiLevelType w:val="hybridMultilevel"/>
    <w:tmpl w:val="924AA5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5B76FE1"/>
    <w:multiLevelType w:val="hybridMultilevel"/>
    <w:tmpl w:val="CC6A82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FB75FB"/>
    <w:multiLevelType w:val="hybridMultilevel"/>
    <w:tmpl w:val="C57A58C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93155E7"/>
    <w:multiLevelType w:val="hybridMultilevel"/>
    <w:tmpl w:val="7E3EA156"/>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nsid w:val="3A7969D2"/>
    <w:multiLevelType w:val="hybridMultilevel"/>
    <w:tmpl w:val="CB26F1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AB73613"/>
    <w:multiLevelType w:val="hybridMultilevel"/>
    <w:tmpl w:val="EC40E82A"/>
    <w:lvl w:ilvl="0" w:tplc="B48CF9D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FE44079"/>
    <w:multiLevelType w:val="hybridMultilevel"/>
    <w:tmpl w:val="BD0C01B2"/>
    <w:lvl w:ilvl="0" w:tplc="887EE3F4">
      <w:start w:val="1"/>
      <w:numFmt w:val="lowerLetter"/>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0">
    <w:nsid w:val="48D54F9F"/>
    <w:multiLevelType w:val="hybridMultilevel"/>
    <w:tmpl w:val="8B6C4194"/>
    <w:lvl w:ilvl="0" w:tplc="DE44734A">
      <w:start w:val="1"/>
      <w:numFmt w:val="bullet"/>
      <w:lvlText w:val=""/>
      <w:lvlJc w:val="left"/>
      <w:pPr>
        <w:ind w:left="77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F8C66A6"/>
    <w:multiLevelType w:val="hybridMultilevel"/>
    <w:tmpl w:val="06125848"/>
    <w:lvl w:ilvl="0" w:tplc="04100005">
      <w:start w:val="1"/>
      <w:numFmt w:val="bullet"/>
      <w:lvlText w:val=""/>
      <w:lvlJc w:val="left"/>
      <w:pPr>
        <w:ind w:left="720" w:hanging="360"/>
      </w:pPr>
      <w:rPr>
        <w:rFonts w:ascii="Wingdings" w:hAnsi="Wingding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8F00DF"/>
    <w:multiLevelType w:val="hybridMultilevel"/>
    <w:tmpl w:val="567E8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29A1D3F"/>
    <w:multiLevelType w:val="hybridMultilevel"/>
    <w:tmpl w:val="8BD4E8A2"/>
    <w:lvl w:ilvl="0" w:tplc="0410000F">
      <w:start w:val="1"/>
      <w:numFmt w:val="decimal"/>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4">
    <w:nsid w:val="54783F23"/>
    <w:multiLevelType w:val="hybridMultilevel"/>
    <w:tmpl w:val="E050ED7C"/>
    <w:lvl w:ilvl="0" w:tplc="C9E01A4E">
      <w:start w:val="1"/>
      <w:numFmt w:val="bullet"/>
      <w:lvlText w:val=""/>
      <w:lvlJc w:val="left"/>
      <w:pPr>
        <w:ind w:left="720" w:hanging="360"/>
      </w:pPr>
      <w:rPr>
        <w:rFonts w:ascii="Symbol" w:hAnsi="Symbol"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66647C6"/>
    <w:multiLevelType w:val="hybridMultilevel"/>
    <w:tmpl w:val="A754EF36"/>
    <w:lvl w:ilvl="0" w:tplc="A38CAAD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C2F4EA7"/>
    <w:multiLevelType w:val="hybridMultilevel"/>
    <w:tmpl w:val="2FA8ADFA"/>
    <w:lvl w:ilvl="0" w:tplc="DE44734A">
      <w:start w:val="1"/>
      <w:numFmt w:val="bullet"/>
      <w:lvlText w:val=""/>
      <w:lvlJc w:val="left"/>
      <w:pPr>
        <w:ind w:left="770" w:hanging="360"/>
      </w:pPr>
      <w:rPr>
        <w:rFonts w:ascii="Symbol" w:hAnsi="Symbol" w:hint="default"/>
        <w:color w:val="auto"/>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7">
    <w:nsid w:val="60F13E6C"/>
    <w:multiLevelType w:val="hybridMultilevel"/>
    <w:tmpl w:val="0BBA224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8">
    <w:nsid w:val="66C72BAE"/>
    <w:multiLevelType w:val="multilevel"/>
    <w:tmpl w:val="B95EF0B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69827061"/>
    <w:multiLevelType w:val="hybridMultilevel"/>
    <w:tmpl w:val="4B08FE36"/>
    <w:lvl w:ilvl="0" w:tplc="03785D22">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30">
    <w:nsid w:val="711176C3"/>
    <w:multiLevelType w:val="hybridMultilevel"/>
    <w:tmpl w:val="ACC8EB66"/>
    <w:lvl w:ilvl="0" w:tplc="0410000B">
      <w:start w:val="1"/>
      <w:numFmt w:val="bullet"/>
      <w:lvlText w:val=""/>
      <w:lvlJc w:val="left"/>
      <w:pPr>
        <w:ind w:left="1540" w:hanging="360"/>
      </w:pPr>
      <w:rPr>
        <w:rFonts w:ascii="Wingdings" w:hAnsi="Wingdings" w:hint="default"/>
      </w:rPr>
    </w:lvl>
    <w:lvl w:ilvl="1" w:tplc="04100003" w:tentative="1">
      <w:start w:val="1"/>
      <w:numFmt w:val="bullet"/>
      <w:lvlText w:val="o"/>
      <w:lvlJc w:val="left"/>
      <w:pPr>
        <w:ind w:left="2260" w:hanging="360"/>
      </w:pPr>
      <w:rPr>
        <w:rFonts w:ascii="Courier New" w:hAnsi="Courier New" w:cs="Courier New" w:hint="default"/>
      </w:rPr>
    </w:lvl>
    <w:lvl w:ilvl="2" w:tplc="04100005" w:tentative="1">
      <w:start w:val="1"/>
      <w:numFmt w:val="bullet"/>
      <w:lvlText w:val=""/>
      <w:lvlJc w:val="left"/>
      <w:pPr>
        <w:ind w:left="2980" w:hanging="360"/>
      </w:pPr>
      <w:rPr>
        <w:rFonts w:ascii="Wingdings" w:hAnsi="Wingdings" w:hint="default"/>
      </w:rPr>
    </w:lvl>
    <w:lvl w:ilvl="3" w:tplc="04100001" w:tentative="1">
      <w:start w:val="1"/>
      <w:numFmt w:val="bullet"/>
      <w:lvlText w:val=""/>
      <w:lvlJc w:val="left"/>
      <w:pPr>
        <w:ind w:left="3700" w:hanging="360"/>
      </w:pPr>
      <w:rPr>
        <w:rFonts w:ascii="Symbol" w:hAnsi="Symbol" w:hint="default"/>
      </w:rPr>
    </w:lvl>
    <w:lvl w:ilvl="4" w:tplc="04100003" w:tentative="1">
      <w:start w:val="1"/>
      <w:numFmt w:val="bullet"/>
      <w:lvlText w:val="o"/>
      <w:lvlJc w:val="left"/>
      <w:pPr>
        <w:ind w:left="4420" w:hanging="360"/>
      </w:pPr>
      <w:rPr>
        <w:rFonts w:ascii="Courier New" w:hAnsi="Courier New" w:cs="Courier New" w:hint="default"/>
      </w:rPr>
    </w:lvl>
    <w:lvl w:ilvl="5" w:tplc="04100005" w:tentative="1">
      <w:start w:val="1"/>
      <w:numFmt w:val="bullet"/>
      <w:lvlText w:val=""/>
      <w:lvlJc w:val="left"/>
      <w:pPr>
        <w:ind w:left="5140" w:hanging="360"/>
      </w:pPr>
      <w:rPr>
        <w:rFonts w:ascii="Wingdings" w:hAnsi="Wingdings" w:hint="default"/>
      </w:rPr>
    </w:lvl>
    <w:lvl w:ilvl="6" w:tplc="04100001" w:tentative="1">
      <w:start w:val="1"/>
      <w:numFmt w:val="bullet"/>
      <w:lvlText w:val=""/>
      <w:lvlJc w:val="left"/>
      <w:pPr>
        <w:ind w:left="5860" w:hanging="360"/>
      </w:pPr>
      <w:rPr>
        <w:rFonts w:ascii="Symbol" w:hAnsi="Symbol" w:hint="default"/>
      </w:rPr>
    </w:lvl>
    <w:lvl w:ilvl="7" w:tplc="04100003" w:tentative="1">
      <w:start w:val="1"/>
      <w:numFmt w:val="bullet"/>
      <w:lvlText w:val="o"/>
      <w:lvlJc w:val="left"/>
      <w:pPr>
        <w:ind w:left="6580" w:hanging="360"/>
      </w:pPr>
      <w:rPr>
        <w:rFonts w:ascii="Courier New" w:hAnsi="Courier New" w:cs="Courier New" w:hint="default"/>
      </w:rPr>
    </w:lvl>
    <w:lvl w:ilvl="8" w:tplc="04100005" w:tentative="1">
      <w:start w:val="1"/>
      <w:numFmt w:val="bullet"/>
      <w:lvlText w:val=""/>
      <w:lvlJc w:val="left"/>
      <w:pPr>
        <w:ind w:left="7300" w:hanging="360"/>
      </w:pPr>
      <w:rPr>
        <w:rFonts w:ascii="Wingdings" w:hAnsi="Wingdings" w:hint="default"/>
      </w:rPr>
    </w:lvl>
  </w:abstractNum>
  <w:abstractNum w:abstractNumId="31">
    <w:nsid w:val="74547B13"/>
    <w:multiLevelType w:val="hybridMultilevel"/>
    <w:tmpl w:val="99E440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65D2EE5"/>
    <w:multiLevelType w:val="multilevel"/>
    <w:tmpl w:val="640A50DE"/>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78DC6FEF"/>
    <w:multiLevelType w:val="hybridMultilevel"/>
    <w:tmpl w:val="C88C3F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9627AD0"/>
    <w:multiLevelType w:val="hybridMultilevel"/>
    <w:tmpl w:val="89982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23"/>
  </w:num>
  <w:num w:numId="4">
    <w:abstractNumId w:val="3"/>
  </w:num>
  <w:num w:numId="5">
    <w:abstractNumId w:val="2"/>
  </w:num>
  <w:num w:numId="6">
    <w:abstractNumId w:val="4"/>
  </w:num>
  <w:num w:numId="7">
    <w:abstractNumId w:val="18"/>
  </w:num>
  <w:num w:numId="8">
    <w:abstractNumId w:val="9"/>
  </w:num>
  <w:num w:numId="9">
    <w:abstractNumId w:val="6"/>
  </w:num>
  <w:num w:numId="10">
    <w:abstractNumId w:val="30"/>
  </w:num>
  <w:num w:numId="11">
    <w:abstractNumId w:val="11"/>
  </w:num>
  <w:num w:numId="12">
    <w:abstractNumId w:val="33"/>
  </w:num>
  <w:num w:numId="13">
    <w:abstractNumId w:val="19"/>
  </w:num>
  <w:num w:numId="14">
    <w:abstractNumId w:val="21"/>
  </w:num>
  <w:num w:numId="15">
    <w:abstractNumId w:val="15"/>
  </w:num>
  <w:num w:numId="16">
    <w:abstractNumId w:val="10"/>
  </w:num>
  <w:num w:numId="17">
    <w:abstractNumId w:val="24"/>
  </w:num>
  <w:num w:numId="18">
    <w:abstractNumId w:val="29"/>
  </w:num>
  <w:num w:numId="19">
    <w:abstractNumId w:val="5"/>
  </w:num>
  <w:num w:numId="20">
    <w:abstractNumId w:val="25"/>
  </w:num>
  <w:num w:numId="21">
    <w:abstractNumId w:val="32"/>
  </w:num>
  <w:num w:numId="22">
    <w:abstractNumId w:val="27"/>
  </w:num>
  <w:num w:numId="23">
    <w:abstractNumId w:val="26"/>
  </w:num>
  <w:num w:numId="24">
    <w:abstractNumId w:val="8"/>
  </w:num>
  <w:num w:numId="25">
    <w:abstractNumId w:val="20"/>
  </w:num>
  <w:num w:numId="26">
    <w:abstractNumId w:val="1"/>
  </w:num>
  <w:num w:numId="27">
    <w:abstractNumId w:val="16"/>
  </w:num>
  <w:num w:numId="28">
    <w:abstractNumId w:val="22"/>
  </w:num>
  <w:num w:numId="29">
    <w:abstractNumId w:val="34"/>
  </w:num>
  <w:num w:numId="30">
    <w:abstractNumId w:val="13"/>
  </w:num>
  <w:num w:numId="31">
    <w:abstractNumId w:val="12"/>
  </w:num>
  <w:num w:numId="32">
    <w:abstractNumId w:val="14"/>
  </w:num>
  <w:num w:numId="33">
    <w:abstractNumId w:val="17"/>
  </w:num>
  <w:num w:numId="34">
    <w:abstractNumId w:val="31"/>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footnotePr>
    <w:footnote w:id="-1"/>
    <w:footnote w:id="0"/>
  </w:footnotePr>
  <w:endnotePr>
    <w:endnote w:id="-1"/>
    <w:endnote w:id="0"/>
  </w:endnotePr>
  <w:compat/>
  <w:rsids>
    <w:rsidRoot w:val="00524BF0"/>
    <w:rsid w:val="00004360"/>
    <w:rsid w:val="00027B82"/>
    <w:rsid w:val="00095CC3"/>
    <w:rsid w:val="00106AED"/>
    <w:rsid w:val="001074C1"/>
    <w:rsid w:val="0016526F"/>
    <w:rsid w:val="00176590"/>
    <w:rsid w:val="00184646"/>
    <w:rsid w:val="001F2AE2"/>
    <w:rsid w:val="00220D24"/>
    <w:rsid w:val="0028695A"/>
    <w:rsid w:val="002B0739"/>
    <w:rsid w:val="002C5CA7"/>
    <w:rsid w:val="002C7854"/>
    <w:rsid w:val="00307EFE"/>
    <w:rsid w:val="003166D4"/>
    <w:rsid w:val="00350077"/>
    <w:rsid w:val="00366302"/>
    <w:rsid w:val="00371573"/>
    <w:rsid w:val="0037284F"/>
    <w:rsid w:val="003C2F8A"/>
    <w:rsid w:val="004042CE"/>
    <w:rsid w:val="004115CD"/>
    <w:rsid w:val="00487786"/>
    <w:rsid w:val="004E18FB"/>
    <w:rsid w:val="00524BF0"/>
    <w:rsid w:val="005319A8"/>
    <w:rsid w:val="00564791"/>
    <w:rsid w:val="005C099B"/>
    <w:rsid w:val="005C1A44"/>
    <w:rsid w:val="005C28CC"/>
    <w:rsid w:val="005D3517"/>
    <w:rsid w:val="005D5061"/>
    <w:rsid w:val="005F6BFB"/>
    <w:rsid w:val="00607F91"/>
    <w:rsid w:val="00613CA5"/>
    <w:rsid w:val="00652AA6"/>
    <w:rsid w:val="00680495"/>
    <w:rsid w:val="00691B80"/>
    <w:rsid w:val="0069551F"/>
    <w:rsid w:val="006B0C90"/>
    <w:rsid w:val="006D10DD"/>
    <w:rsid w:val="006D3A25"/>
    <w:rsid w:val="006E03AA"/>
    <w:rsid w:val="00701C5C"/>
    <w:rsid w:val="0072649F"/>
    <w:rsid w:val="00732247"/>
    <w:rsid w:val="007773A0"/>
    <w:rsid w:val="0079093A"/>
    <w:rsid w:val="007A739F"/>
    <w:rsid w:val="007C060A"/>
    <w:rsid w:val="007D0085"/>
    <w:rsid w:val="007E6D1F"/>
    <w:rsid w:val="00830CBC"/>
    <w:rsid w:val="00832C3A"/>
    <w:rsid w:val="008447AD"/>
    <w:rsid w:val="00865D5B"/>
    <w:rsid w:val="008A0212"/>
    <w:rsid w:val="008A6FBC"/>
    <w:rsid w:val="008F51CF"/>
    <w:rsid w:val="00975858"/>
    <w:rsid w:val="00997AFF"/>
    <w:rsid w:val="009B0221"/>
    <w:rsid w:val="009D0038"/>
    <w:rsid w:val="00A079CD"/>
    <w:rsid w:val="00A15A1E"/>
    <w:rsid w:val="00A32DC8"/>
    <w:rsid w:val="00A377F0"/>
    <w:rsid w:val="00A512CF"/>
    <w:rsid w:val="00A573DF"/>
    <w:rsid w:val="00AE5CA7"/>
    <w:rsid w:val="00B116CC"/>
    <w:rsid w:val="00B268FE"/>
    <w:rsid w:val="00B40661"/>
    <w:rsid w:val="00B44C02"/>
    <w:rsid w:val="00B50E8F"/>
    <w:rsid w:val="00B6095F"/>
    <w:rsid w:val="00B819FC"/>
    <w:rsid w:val="00B85F7B"/>
    <w:rsid w:val="00B87AF0"/>
    <w:rsid w:val="00BA2012"/>
    <w:rsid w:val="00BB6855"/>
    <w:rsid w:val="00BB68B5"/>
    <w:rsid w:val="00C15E18"/>
    <w:rsid w:val="00C275F1"/>
    <w:rsid w:val="00C64126"/>
    <w:rsid w:val="00C6554C"/>
    <w:rsid w:val="00CC0819"/>
    <w:rsid w:val="00CC5D4B"/>
    <w:rsid w:val="00CD3362"/>
    <w:rsid w:val="00D2098D"/>
    <w:rsid w:val="00D23339"/>
    <w:rsid w:val="00D234E1"/>
    <w:rsid w:val="00D328EC"/>
    <w:rsid w:val="00D55AE7"/>
    <w:rsid w:val="00D90194"/>
    <w:rsid w:val="00D96E40"/>
    <w:rsid w:val="00DB06FE"/>
    <w:rsid w:val="00DE1374"/>
    <w:rsid w:val="00DF1C01"/>
    <w:rsid w:val="00E10FF6"/>
    <w:rsid w:val="00E25A24"/>
    <w:rsid w:val="00E4254B"/>
    <w:rsid w:val="00E45EAB"/>
    <w:rsid w:val="00EB3412"/>
    <w:rsid w:val="00EE4591"/>
    <w:rsid w:val="00F03695"/>
    <w:rsid w:val="00F5280C"/>
    <w:rsid w:val="00FE05F6"/>
    <w:rsid w:val="00FE51B4"/>
    <w:rsid w:val="00FE51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4E18FB"/>
  </w:style>
  <w:style w:type="paragraph" w:styleId="Titolo1">
    <w:name w:val="heading 1"/>
    <w:basedOn w:val="Normale"/>
    <w:next w:val="Normale"/>
    <w:rsid w:val="00106AED"/>
    <w:pPr>
      <w:keepNext/>
      <w:keepLines/>
      <w:spacing w:before="480" w:after="120"/>
      <w:outlineLvl w:val="0"/>
    </w:pPr>
    <w:rPr>
      <w:b/>
      <w:sz w:val="48"/>
      <w:szCs w:val="48"/>
    </w:rPr>
  </w:style>
  <w:style w:type="paragraph" w:styleId="Titolo2">
    <w:name w:val="heading 2"/>
    <w:basedOn w:val="Normale"/>
    <w:next w:val="Normale"/>
    <w:rsid w:val="00106AED"/>
    <w:pPr>
      <w:keepNext/>
      <w:keepLines/>
      <w:spacing w:before="360" w:after="80"/>
      <w:outlineLvl w:val="1"/>
    </w:pPr>
    <w:rPr>
      <w:b/>
      <w:sz w:val="36"/>
      <w:szCs w:val="36"/>
    </w:rPr>
  </w:style>
  <w:style w:type="paragraph" w:styleId="Titolo3">
    <w:name w:val="heading 3"/>
    <w:basedOn w:val="Normale"/>
    <w:next w:val="Normale"/>
    <w:rsid w:val="00106AED"/>
    <w:pPr>
      <w:keepNext/>
      <w:keepLines/>
      <w:spacing w:before="280" w:after="80"/>
      <w:outlineLvl w:val="2"/>
    </w:pPr>
    <w:rPr>
      <w:b/>
      <w:sz w:val="28"/>
      <w:szCs w:val="28"/>
    </w:rPr>
  </w:style>
  <w:style w:type="paragraph" w:styleId="Titolo4">
    <w:name w:val="heading 4"/>
    <w:basedOn w:val="Normale"/>
    <w:next w:val="Normale"/>
    <w:rsid w:val="00106AED"/>
    <w:pPr>
      <w:keepNext/>
      <w:keepLines/>
      <w:spacing w:before="240" w:after="40"/>
      <w:outlineLvl w:val="3"/>
    </w:pPr>
    <w:rPr>
      <w:b/>
      <w:sz w:val="24"/>
      <w:szCs w:val="24"/>
    </w:rPr>
  </w:style>
  <w:style w:type="paragraph" w:styleId="Titolo5">
    <w:name w:val="heading 5"/>
    <w:basedOn w:val="Normale"/>
    <w:next w:val="Normale"/>
    <w:rsid w:val="00106AED"/>
    <w:pPr>
      <w:keepNext/>
      <w:keepLines/>
      <w:spacing w:before="220" w:after="40"/>
      <w:outlineLvl w:val="4"/>
    </w:pPr>
    <w:rPr>
      <w:b/>
    </w:rPr>
  </w:style>
  <w:style w:type="paragraph" w:styleId="Titolo6">
    <w:name w:val="heading 6"/>
    <w:basedOn w:val="Normale"/>
    <w:next w:val="Normale"/>
    <w:rsid w:val="00106AED"/>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106AED"/>
    <w:tblPr>
      <w:tblCellMar>
        <w:top w:w="0" w:type="dxa"/>
        <w:left w:w="0" w:type="dxa"/>
        <w:bottom w:w="0" w:type="dxa"/>
        <w:right w:w="0" w:type="dxa"/>
      </w:tblCellMar>
    </w:tblPr>
  </w:style>
  <w:style w:type="paragraph" w:styleId="Titolo">
    <w:name w:val="Title"/>
    <w:basedOn w:val="Normale"/>
    <w:next w:val="Normale"/>
    <w:rsid w:val="00106AED"/>
    <w:pPr>
      <w:keepNext/>
      <w:keepLines/>
      <w:spacing w:before="480" w:after="120"/>
    </w:pPr>
    <w:rPr>
      <w:b/>
      <w:sz w:val="72"/>
      <w:szCs w:val="72"/>
    </w:rPr>
  </w:style>
  <w:style w:type="paragraph" w:styleId="Sottotitolo">
    <w:name w:val="Subtitle"/>
    <w:basedOn w:val="Normale"/>
    <w:next w:val="Normale"/>
    <w:rsid w:val="00106AED"/>
    <w:pPr>
      <w:keepNext/>
      <w:keepLines/>
      <w:spacing w:before="360" w:after="80"/>
    </w:pPr>
    <w:rPr>
      <w:rFonts w:ascii="Georgia" w:eastAsia="Georgia" w:hAnsi="Georgia" w:cs="Georgia"/>
      <w:i/>
      <w:color w:val="666666"/>
      <w:sz w:val="48"/>
      <w:szCs w:val="48"/>
    </w:rPr>
  </w:style>
  <w:style w:type="table" w:customStyle="1" w:styleId="a">
    <w:basedOn w:val="TableNormal"/>
    <w:rsid w:val="00106AED"/>
    <w:pPr>
      <w:spacing w:after="0" w:line="240" w:lineRule="auto"/>
    </w:pPr>
    <w:tblPr>
      <w:tblStyleRowBandSize w:val="1"/>
      <w:tblStyleColBandSize w:val="1"/>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4E18FB"/>
    <w:rPr>
      <w:vertAlign w:val="superscript"/>
    </w:rPr>
  </w:style>
  <w:style w:type="paragraph" w:styleId="Paragrafoelenco">
    <w:name w:val="List Paragraph"/>
    <w:basedOn w:val="Normale"/>
    <w:uiPriority w:val="34"/>
    <w:qFormat/>
    <w:rsid w:val="004E18FB"/>
    <w:pPr>
      <w:ind w:left="720"/>
      <w:contextualSpacing/>
    </w:pPr>
  </w:style>
  <w:style w:type="paragraph" w:styleId="Testonotaapidipagina">
    <w:name w:val="footnote text"/>
    <w:basedOn w:val="Normale"/>
    <w:link w:val="TestonotaapidipaginaCarattere"/>
    <w:uiPriority w:val="99"/>
    <w:unhideWhenUsed/>
    <w:rsid w:val="00D9019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D90194"/>
    <w:rPr>
      <w:sz w:val="20"/>
      <w:szCs w:val="20"/>
    </w:rPr>
  </w:style>
  <w:style w:type="paragraph" w:styleId="Titolosommario">
    <w:name w:val="TOC Heading"/>
    <w:basedOn w:val="Titolo1"/>
    <w:next w:val="Normale"/>
    <w:uiPriority w:val="39"/>
    <w:unhideWhenUsed/>
    <w:qFormat/>
    <w:rsid w:val="00D23339"/>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Sommario1">
    <w:name w:val="toc 1"/>
    <w:basedOn w:val="Normale"/>
    <w:next w:val="Normale"/>
    <w:autoRedefine/>
    <w:uiPriority w:val="39"/>
    <w:unhideWhenUsed/>
    <w:rsid w:val="00D23339"/>
    <w:pPr>
      <w:spacing w:after="100"/>
    </w:pPr>
  </w:style>
  <w:style w:type="character" w:styleId="Collegamentoipertestuale">
    <w:name w:val="Hyperlink"/>
    <w:basedOn w:val="Carpredefinitoparagrafo"/>
    <w:uiPriority w:val="99"/>
    <w:unhideWhenUsed/>
    <w:rsid w:val="00D23339"/>
    <w:rPr>
      <w:color w:val="0000FF" w:themeColor="hyperlink"/>
      <w:u w:val="single"/>
    </w:rPr>
  </w:style>
  <w:style w:type="paragraph" w:styleId="Sommario2">
    <w:name w:val="toc 2"/>
    <w:basedOn w:val="Normale"/>
    <w:next w:val="Normale"/>
    <w:autoRedefine/>
    <w:uiPriority w:val="39"/>
    <w:unhideWhenUsed/>
    <w:rsid w:val="00B44C02"/>
    <w:pPr>
      <w:spacing w:after="100"/>
      <w:ind w:left="220"/>
    </w:pPr>
    <w:rPr>
      <w:rFonts w:asciiTheme="minorHAnsi" w:eastAsiaTheme="minorEastAsia" w:hAnsiTheme="minorHAnsi" w:cs="Times New Roman"/>
    </w:rPr>
  </w:style>
  <w:style w:type="paragraph" w:styleId="Sommario3">
    <w:name w:val="toc 3"/>
    <w:basedOn w:val="Normale"/>
    <w:next w:val="Normale"/>
    <w:autoRedefine/>
    <w:uiPriority w:val="39"/>
    <w:unhideWhenUsed/>
    <w:rsid w:val="00B44C02"/>
    <w:pPr>
      <w:spacing w:after="100"/>
      <w:ind w:left="440"/>
    </w:pPr>
    <w:rPr>
      <w:rFonts w:asciiTheme="minorHAnsi" w:eastAsiaTheme="minorEastAsia" w:hAnsiTheme="minorHAnsi" w:cs="Times New Roman"/>
    </w:rPr>
  </w:style>
  <w:style w:type="paragraph" w:customStyle="1" w:styleId="comma">
    <w:name w:val="comma"/>
    <w:basedOn w:val="Normale"/>
    <w:rsid w:val="005647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0">
    <w:name w:val="mb-0"/>
    <w:basedOn w:val="Normale"/>
    <w:rsid w:val="005647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qual">
    <w:name w:val="equal"/>
    <w:basedOn w:val="Carpredefinitoparagrafo"/>
    <w:rsid w:val="00564791"/>
  </w:style>
  <w:style w:type="paragraph" w:styleId="NormaleWeb">
    <w:name w:val="Normal (Web)"/>
    <w:basedOn w:val="Normale"/>
    <w:uiPriority w:val="99"/>
    <w:semiHidden/>
    <w:unhideWhenUsed/>
    <w:rsid w:val="00701C5C"/>
    <w:rPr>
      <w:rFonts w:ascii="Times New Roman" w:hAnsi="Times New Roman" w:cs="Times New Roman"/>
      <w:sz w:val="24"/>
      <w:szCs w:val="24"/>
    </w:rPr>
  </w:style>
  <w:style w:type="character" w:styleId="Enfasigrassetto">
    <w:name w:val="Strong"/>
    <w:basedOn w:val="Carpredefinitoparagrafo"/>
    <w:uiPriority w:val="22"/>
    <w:qFormat/>
    <w:rsid w:val="00701C5C"/>
    <w:rPr>
      <w:b/>
      <w:bCs/>
    </w:rPr>
  </w:style>
  <w:style w:type="character" w:styleId="Enfasicorsivo">
    <w:name w:val="Emphasis"/>
    <w:basedOn w:val="Carpredefinitoparagrafo"/>
    <w:uiPriority w:val="20"/>
    <w:qFormat/>
    <w:rsid w:val="00701C5C"/>
    <w:rPr>
      <w:i/>
      <w:iCs/>
    </w:rPr>
  </w:style>
  <w:style w:type="paragraph" w:styleId="Intestazione">
    <w:name w:val="header"/>
    <w:basedOn w:val="Normale"/>
    <w:link w:val="IntestazioneCarattere"/>
    <w:uiPriority w:val="99"/>
    <w:unhideWhenUsed/>
    <w:rsid w:val="00E45EA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5EAB"/>
  </w:style>
  <w:style w:type="paragraph" w:styleId="Pidipagina">
    <w:name w:val="footer"/>
    <w:basedOn w:val="Normale"/>
    <w:link w:val="PidipaginaCarattere"/>
    <w:uiPriority w:val="99"/>
    <w:unhideWhenUsed/>
    <w:rsid w:val="00E45EA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5EAB"/>
  </w:style>
  <w:style w:type="paragraph" w:styleId="Testofumetto">
    <w:name w:val="Balloon Text"/>
    <w:basedOn w:val="Normale"/>
    <w:link w:val="TestofumettoCarattere"/>
    <w:uiPriority w:val="99"/>
    <w:semiHidden/>
    <w:unhideWhenUsed/>
    <w:rsid w:val="005F6BF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6B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1877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brocardi.it/dizionario/3904.html" TargetMode="External"/><Relationship Id="rId7" Type="http://schemas.openxmlformats.org/officeDocument/2006/relationships/hyperlink" Target="https://www.brocardi.it/dizionario/3759.html" TargetMode="External"/><Relationship Id="rId2" Type="http://schemas.openxmlformats.org/officeDocument/2006/relationships/hyperlink" Target="https://www.brocardi.it/dizionario/5585.html" TargetMode="External"/><Relationship Id="rId1" Type="http://schemas.openxmlformats.org/officeDocument/2006/relationships/hyperlink" Target="https://www.brocardi.it/dizionario/3903.html" TargetMode="External"/><Relationship Id="rId6" Type="http://schemas.openxmlformats.org/officeDocument/2006/relationships/hyperlink" Target="https://www.brocardi.it/dizionario/1106.html" TargetMode="External"/><Relationship Id="rId5" Type="http://schemas.openxmlformats.org/officeDocument/2006/relationships/hyperlink" Target="https://www.brocardi.it/dizionario/3783.html" TargetMode="External"/><Relationship Id="rId4" Type="http://schemas.openxmlformats.org/officeDocument/2006/relationships/hyperlink" Target="https://www.brocardi.it/dizionario/100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832835-4832-4355-82F1-7956E355631E}">
  <ds:schemaRefs>
    <ds:schemaRef ds:uri="http://schemas.openxmlformats.org/officeDocument/2006/bibliography"/>
  </ds:schemaRefs>
</ds:datastoreItem>
</file>

<file path=customXml/itemProps2.xml><?xml version="1.0" encoding="utf-8"?>
<ds:datastoreItem xmlns:ds="http://schemas.openxmlformats.org/officeDocument/2006/customXml" ds:itemID="{33C8B66D-81C7-4661-A494-220A8A0AAB79}"/>
</file>

<file path=customXml/itemProps3.xml><?xml version="1.0" encoding="utf-8"?>
<ds:datastoreItem xmlns:ds="http://schemas.openxmlformats.org/officeDocument/2006/customXml" ds:itemID="{1EFF0CCF-0791-48C3-8B97-3E24C4B3B5F5}"/>
</file>

<file path=customXml/itemProps4.xml><?xml version="1.0" encoding="utf-8"?>
<ds:datastoreItem xmlns:ds="http://schemas.openxmlformats.org/officeDocument/2006/customXml" ds:itemID="{7B2F0FBA-B6D4-467C-967A-79CB2DDCC811}"/>
</file>

<file path=docProps/app.xml><?xml version="1.0" encoding="utf-8"?>
<Properties xmlns="http://schemas.openxmlformats.org/officeDocument/2006/extended-properties" xmlns:vt="http://schemas.openxmlformats.org/officeDocument/2006/docPropsVTypes">
  <Template>Normal</Template>
  <TotalTime>2</TotalTime>
  <Pages>13</Pages>
  <Words>1906</Words>
  <Characters>11190</Characters>
  <Application>Microsoft Office Word</Application>
  <DocSecurity>0</DocSecurity>
  <Lines>151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giorgio poli</cp:lastModifiedBy>
  <cp:revision>2</cp:revision>
  <dcterms:created xsi:type="dcterms:W3CDTF">2023-07-18T06:05:00Z</dcterms:created>
  <dcterms:modified xsi:type="dcterms:W3CDTF">2023-07-18T06:05:00Z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0x0101006C2BED075D094D47BEED1432A078DA6D</vt:lpwstr>
  </property>
</Properties>
</file>