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21FD" w14:textId="18094972" w:rsidR="00E73F1F" w:rsidRDefault="00196C87" w:rsidP="00196C87">
      <w:pPr>
        <w:jc w:val="center"/>
      </w:pPr>
      <w:r w:rsidRPr="00655E95">
        <w:rPr>
          <w:rFonts w:ascii="Book Antiqua" w:eastAsia="Calibri" w:hAnsi="Book Antiqua"/>
          <w:noProof/>
          <w:lang w:eastAsia="it-IT"/>
        </w:rPr>
        <w:drawing>
          <wp:inline distT="0" distB="0" distL="0" distR="0" wp14:anchorId="2B51A02F" wp14:editId="757B06DC">
            <wp:extent cx="775335" cy="862330"/>
            <wp:effectExtent l="0" t="0" r="5715" b="0"/>
            <wp:docPr id="1" name="Immagine 1" descr="emblema_gr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emblema_gr_smal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535755" w14:textId="6892D818" w:rsidR="00196C87" w:rsidRPr="00B43E11" w:rsidRDefault="00196C87" w:rsidP="00196C87">
      <w:pPr>
        <w:spacing w:after="0"/>
        <w:jc w:val="center"/>
        <w:rPr>
          <w:u w:val="single"/>
        </w:rPr>
      </w:pPr>
      <w:r w:rsidRPr="00196C87">
        <w:rPr>
          <w:b/>
          <w:bCs/>
        </w:rPr>
        <w:t xml:space="preserve">Tribunale ordinario </w:t>
      </w:r>
      <w:r w:rsidR="00B43E11">
        <w:rPr>
          <w:b/>
          <w:bCs/>
        </w:rPr>
        <w:t xml:space="preserve">di </w:t>
      </w:r>
      <w:r w:rsidRPr="00B43E11">
        <w:rPr>
          <w:b/>
          <w:bCs/>
          <w:u w:val="single"/>
        </w:rPr>
        <w:t xml:space="preserve"> </w:t>
      </w:r>
      <w:r w:rsidR="00B43E11">
        <w:rPr>
          <w:u w:val="single"/>
        </w:rPr>
        <w:t xml:space="preserve"> </w:t>
      </w:r>
    </w:p>
    <w:p w14:paraId="3657DEF4" w14:textId="2A3D5050" w:rsidR="00196C87" w:rsidRPr="00196C87" w:rsidRDefault="00196C87" w:rsidP="00196C87">
      <w:pPr>
        <w:jc w:val="center"/>
        <w:rPr>
          <w:b/>
          <w:bCs/>
        </w:rPr>
      </w:pPr>
      <w:r w:rsidRPr="00196C87">
        <w:rPr>
          <w:b/>
          <w:bCs/>
        </w:rPr>
        <w:t xml:space="preserve">Ufficio del Giudice per le indagini preliminari </w:t>
      </w:r>
    </w:p>
    <w:p w14:paraId="31B339B0" w14:textId="77777777" w:rsidR="00196C87" w:rsidRDefault="00196C87" w:rsidP="00196C87">
      <w:pPr>
        <w:jc w:val="both"/>
      </w:pPr>
    </w:p>
    <w:p w14:paraId="0D3EDA64" w14:textId="43B8E230" w:rsidR="00196C87" w:rsidRDefault="00196C87" w:rsidP="00196C87">
      <w:pPr>
        <w:jc w:val="both"/>
      </w:pPr>
      <w:r>
        <w:t>Proc. n.                            del                     R. G.N.R.</w:t>
      </w:r>
    </w:p>
    <w:p w14:paraId="26CA2FB2" w14:textId="4E2C6F64" w:rsidR="00196C87" w:rsidRDefault="00196C87" w:rsidP="00196C87">
      <w:pPr>
        <w:jc w:val="both"/>
      </w:pPr>
      <w:r>
        <w:t xml:space="preserve">Proc. n.                            del                     R.G. </w:t>
      </w:r>
      <w:proofErr w:type="spellStart"/>
      <w:r>
        <w:t>G.i.p</w:t>
      </w:r>
      <w:proofErr w:type="spellEnd"/>
      <w:r>
        <w:t xml:space="preserve">. </w:t>
      </w:r>
    </w:p>
    <w:p w14:paraId="19BA2CFE" w14:textId="165CC1B3" w:rsidR="00196C87" w:rsidRDefault="00196C87" w:rsidP="00196C87">
      <w:pPr>
        <w:jc w:val="both"/>
      </w:pPr>
    </w:p>
    <w:p w14:paraId="7F7FB70E" w14:textId="66E1DCFF" w:rsidR="00196C87" w:rsidRPr="00196C87" w:rsidRDefault="00196C87" w:rsidP="00196C87">
      <w:pPr>
        <w:spacing w:after="0"/>
        <w:jc w:val="center"/>
        <w:rPr>
          <w:b/>
          <w:bCs/>
        </w:rPr>
      </w:pPr>
      <w:r w:rsidRPr="00196C87">
        <w:rPr>
          <w:b/>
          <w:bCs/>
        </w:rPr>
        <w:t xml:space="preserve">DECRETO DI ARCHIVIAZIONE </w:t>
      </w:r>
    </w:p>
    <w:p w14:paraId="01E81F79" w14:textId="534B271E" w:rsidR="00196C87" w:rsidRPr="00196C87" w:rsidRDefault="00196C87" w:rsidP="00196C87">
      <w:pPr>
        <w:jc w:val="center"/>
        <w:rPr>
          <w:b/>
          <w:bCs/>
        </w:rPr>
      </w:pPr>
      <w:r w:rsidRPr="00196C87">
        <w:rPr>
          <w:b/>
          <w:bCs/>
        </w:rPr>
        <w:t>PER PARTICOLARE TENUITA’ DEL FATTO ex art. 131-</w:t>
      </w:r>
      <w:r w:rsidRPr="00196C87">
        <w:rPr>
          <w:b/>
          <w:bCs/>
          <w:i/>
          <w:iCs/>
        </w:rPr>
        <w:t>bis</w:t>
      </w:r>
      <w:r w:rsidRPr="00196C87">
        <w:rPr>
          <w:b/>
          <w:bCs/>
        </w:rPr>
        <w:t xml:space="preserve"> c.p.</w:t>
      </w:r>
    </w:p>
    <w:p w14:paraId="38E6CD98" w14:textId="7C582D97" w:rsidR="00196C87" w:rsidRDefault="00196C87" w:rsidP="00E6735B">
      <w:pPr>
        <w:jc w:val="center"/>
      </w:pPr>
      <w:r>
        <w:t>Il Giudice per le indagini preliminari</w:t>
      </w:r>
      <w:r w:rsidR="00E6735B">
        <w:t xml:space="preserve"> </w:t>
      </w:r>
      <w:r w:rsidR="00E6735B">
        <w:rPr>
          <w:u w:val="single"/>
        </w:rPr>
        <w:t xml:space="preserve">                     </w:t>
      </w:r>
      <w:r>
        <w:t xml:space="preserve">, vista la richiesta di archiviazione depositata dal Pubblico Ministero nel procedimento a carico di </w:t>
      </w:r>
    </w:p>
    <w:p w14:paraId="44617D23" w14:textId="77777777" w:rsidR="00E6735B" w:rsidRDefault="00E6735B" w:rsidP="00B43E11"/>
    <w:p w14:paraId="44E4153A" w14:textId="1FA342CF" w:rsidR="00196C87" w:rsidRDefault="00196C87" w:rsidP="00196C87">
      <w:pPr>
        <w:pStyle w:val="Paragrafoelenco"/>
        <w:numPr>
          <w:ilvl w:val="0"/>
          <w:numId w:val="1"/>
        </w:numPr>
      </w:pPr>
      <w:r>
        <w:t>Preso atto dell’avvenuta notificazione della richiesta alla persona offesa;</w:t>
      </w:r>
    </w:p>
    <w:p w14:paraId="5546D54B" w14:textId="3C34CB70" w:rsidR="00196C87" w:rsidRDefault="00196C87" w:rsidP="00196C87">
      <w:pPr>
        <w:pStyle w:val="Paragrafoelenco"/>
        <w:numPr>
          <w:ilvl w:val="0"/>
          <w:numId w:val="1"/>
        </w:numPr>
      </w:pPr>
      <w:r>
        <w:t>Ritenuto, in particolare, che, nel caso in esame, sussistono tutti i presupposti per escludere la punibilità per la particolare tenuità del fatto;</w:t>
      </w:r>
    </w:p>
    <w:p w14:paraId="506D6738" w14:textId="2290BEA7" w:rsidR="00196C87" w:rsidRPr="00196C87" w:rsidRDefault="00196C87" w:rsidP="00196C87">
      <w:pPr>
        <w:pStyle w:val="Paragrafoelenco"/>
        <w:numPr>
          <w:ilvl w:val="0"/>
          <w:numId w:val="1"/>
        </w:numPr>
      </w:pPr>
      <w:r>
        <w:t xml:space="preserve">Tenuto conto che il reato per il quale si procede prevede una pena detentiva non superiore </w:t>
      </w:r>
      <w:r>
        <w:rPr>
          <w:color w:val="FF0000"/>
        </w:rPr>
        <w:t>nel minimo a due anni di reclusione;</w:t>
      </w:r>
    </w:p>
    <w:p w14:paraId="25EEE0D0" w14:textId="7B7D6F0A" w:rsidR="00196C87" w:rsidRPr="00196C87" w:rsidRDefault="00196C87" w:rsidP="00196C87">
      <w:pPr>
        <w:pStyle w:val="Paragrafoelenco"/>
        <w:numPr>
          <w:ilvl w:val="0"/>
          <w:numId w:val="1"/>
        </w:numPr>
      </w:pPr>
      <w:r>
        <w:t xml:space="preserve">Accertata la particolare tenuità dell’offesa in considerazione delle modalità della condotta, dell’esiguità del danno o del pericolo </w:t>
      </w:r>
      <w:r>
        <w:rPr>
          <w:color w:val="FF0000"/>
        </w:rPr>
        <w:t>e della condotta susseguente al reato;</w:t>
      </w:r>
    </w:p>
    <w:p w14:paraId="1619C08E" w14:textId="60C2ADD1" w:rsidR="00196C87" w:rsidRDefault="00196C87" w:rsidP="00196C87">
      <w:pPr>
        <w:pStyle w:val="Paragrafoelenco"/>
        <w:numPr>
          <w:ilvl w:val="0"/>
          <w:numId w:val="1"/>
        </w:numPr>
      </w:pPr>
      <w:r>
        <w:t>Considerata la non abitualità del comportamento;</w:t>
      </w:r>
    </w:p>
    <w:p w14:paraId="27931B3F" w14:textId="4B72C36A" w:rsidR="00196C87" w:rsidRDefault="00196C87" w:rsidP="00196C87">
      <w:pPr>
        <w:pStyle w:val="Paragrafoelenco"/>
        <w:numPr>
          <w:ilvl w:val="0"/>
          <w:numId w:val="1"/>
        </w:numPr>
      </w:pPr>
      <w:r>
        <w:t>Atteso che non ricorre alcuno degli indici di cui al secondo comma dell’art. 133 c.p. che valga ad escludere la particolare tenuità dell’offesa;</w:t>
      </w:r>
    </w:p>
    <w:p w14:paraId="223EF798" w14:textId="5F6A91DA" w:rsidR="00196C87" w:rsidRDefault="00196C87" w:rsidP="00B43E11">
      <w:pPr>
        <w:pStyle w:val="Paragrafoelenco"/>
        <w:numPr>
          <w:ilvl w:val="0"/>
          <w:numId w:val="1"/>
        </w:numPr>
      </w:pPr>
      <w:r>
        <w:t>Condividendosi, pertanto, le argomentazioni avanzate dal Pubblico Ministero che si intendono qui riportate;</w:t>
      </w:r>
    </w:p>
    <w:p w14:paraId="178E3965" w14:textId="339A241E" w:rsidR="00196C87" w:rsidRDefault="00196C87" w:rsidP="00196C87">
      <w:r>
        <w:t>visti gli artt. 409 e seguenti c.p.p.</w:t>
      </w:r>
    </w:p>
    <w:p w14:paraId="1F957F94" w14:textId="3515F559" w:rsidR="00196C87" w:rsidRDefault="00196C87" w:rsidP="00196C87">
      <w:pPr>
        <w:spacing w:after="0"/>
        <w:jc w:val="center"/>
      </w:pPr>
      <w:r>
        <w:t>dispone</w:t>
      </w:r>
    </w:p>
    <w:p w14:paraId="26721D18" w14:textId="24DD67AB" w:rsidR="00196C87" w:rsidRDefault="00196C87" w:rsidP="00196C87">
      <w:pPr>
        <w:spacing w:after="0"/>
        <w:jc w:val="both"/>
      </w:pPr>
      <w:r>
        <w:t xml:space="preserve">l’archiviazione del procedimento ai sensi del comma 1 </w:t>
      </w:r>
      <w:r w:rsidRPr="004749E3">
        <w:rPr>
          <w:i/>
          <w:iCs/>
        </w:rPr>
        <w:t>bis</w:t>
      </w:r>
      <w:r>
        <w:t xml:space="preserve"> dell’art. 411 del c.p.p. e ordina la restituzione degli atti al Pubblico Ministero in sede.</w:t>
      </w:r>
    </w:p>
    <w:p w14:paraId="5CDED5AC" w14:textId="6BB81D6B" w:rsidR="00196C87" w:rsidRDefault="00196C87" w:rsidP="00196C87">
      <w:pPr>
        <w:spacing w:after="0"/>
        <w:jc w:val="both"/>
      </w:pPr>
    </w:p>
    <w:p w14:paraId="114D8E55" w14:textId="5AF32764" w:rsidR="00196C87" w:rsidRDefault="00196C87" w:rsidP="00196C87">
      <w:pPr>
        <w:spacing w:after="0"/>
        <w:jc w:val="both"/>
      </w:pPr>
      <w:r>
        <w:t>Si autorizza la consultazione degli atti e l’estrazione di copia da parte della persona sottoposta a indagini, della persona offesa e dei rispettivi difensori.</w:t>
      </w:r>
    </w:p>
    <w:p w14:paraId="3D3AFC86" w14:textId="0743FC6A" w:rsidR="00196C87" w:rsidRDefault="00196C87" w:rsidP="00196C87">
      <w:pPr>
        <w:spacing w:after="0"/>
        <w:jc w:val="both"/>
      </w:pPr>
    </w:p>
    <w:p w14:paraId="0DBC4787" w14:textId="4FF25CC3" w:rsidR="00196C87" w:rsidRDefault="00196C87" w:rsidP="00196C87">
      <w:pPr>
        <w:spacing w:after="0"/>
        <w:jc w:val="both"/>
      </w:pPr>
      <w:r>
        <w:t>Dispone l’annotazione del presente decreto nel casellario giudiziario</w:t>
      </w:r>
    </w:p>
    <w:p w14:paraId="1FDD881F" w14:textId="10BBDA97" w:rsidR="00196C87" w:rsidRDefault="00196C87" w:rsidP="00196C87">
      <w:pPr>
        <w:spacing w:after="0"/>
        <w:jc w:val="both"/>
      </w:pPr>
    </w:p>
    <w:p w14:paraId="5D12B5D0" w14:textId="31D5CFB2" w:rsidR="00196C87" w:rsidRDefault="00196C87" w:rsidP="00196C87">
      <w:pPr>
        <w:jc w:val="center"/>
      </w:pPr>
    </w:p>
    <w:p w14:paraId="728D9F0D" w14:textId="77777777" w:rsidR="00196C87" w:rsidRPr="00196C87" w:rsidRDefault="00196C87" w:rsidP="00196C87">
      <w:pPr>
        <w:jc w:val="center"/>
      </w:pPr>
    </w:p>
    <w:sectPr w:rsidR="00196C87" w:rsidRPr="00196C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D7ACC"/>
    <w:multiLevelType w:val="hybridMultilevel"/>
    <w:tmpl w:val="EB9204FA"/>
    <w:lvl w:ilvl="0" w:tplc="E69A47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73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C87"/>
    <w:rsid w:val="00196C87"/>
    <w:rsid w:val="004749E3"/>
    <w:rsid w:val="00B43E11"/>
    <w:rsid w:val="00E6735B"/>
    <w:rsid w:val="00E7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3B2B2"/>
  <w15:chartTrackingRefBased/>
  <w15:docId w15:val="{ED21D081-5958-4754-87A9-CFD7F62F8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96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C2BED075D094D47BEED1432A078DA6D" ma:contentTypeVersion="13" ma:contentTypeDescription="Creare un nuovo documento." ma:contentTypeScope="" ma:versionID="f3cbd1be3cf80f9eb7a1eab8f663d263">
  <xsd:schema xmlns:xsd="http://www.w3.org/2001/XMLSchema" xmlns:xs="http://www.w3.org/2001/XMLSchema" xmlns:p="http://schemas.microsoft.com/office/2006/metadata/properties" xmlns:ns2="e51b996e-8e65-4322-ab1b-b6986186a920" xmlns:ns3="d9027789-733c-4c69-9658-3261ad6a2ebe" targetNamespace="http://schemas.microsoft.com/office/2006/metadata/properties" ma:root="true" ma:fieldsID="132414a1fc5ad5f9535c9b5d22d52284" ns2:_="" ns3:_="">
    <xsd:import namespace="e51b996e-8e65-4322-ab1b-b6986186a920"/>
    <xsd:import namespace="d9027789-733c-4c69-9658-3261ad6a2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b996e-8e65-4322-ab1b-b6986186a9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027789-733c-4c69-9658-3261ad6a2ebe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f769226-c558-4de1-8254-a74a995603fc}" ma:internalName="TaxCatchAll" ma:showField="CatchAllData" ma:web="d9027789-733c-4c69-9658-3261ad6a2e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9027789-733c-4c69-9658-3261ad6a2ebe" xsi:nil="true"/>
    <lcf76f155ced4ddcb4097134ff3c332f xmlns="e51b996e-8e65-4322-ab1b-b6986186a92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68BE3F-0B2D-40F5-A137-319A63526EB5}"/>
</file>

<file path=customXml/itemProps2.xml><?xml version="1.0" encoding="utf-8"?>
<ds:datastoreItem xmlns:ds="http://schemas.openxmlformats.org/officeDocument/2006/customXml" ds:itemID="{25D00C39-2F4F-4BB7-B58F-8A22AEBA7D4B}"/>
</file>

<file path=customXml/itemProps3.xml><?xml version="1.0" encoding="utf-8"?>
<ds:datastoreItem xmlns:ds="http://schemas.openxmlformats.org/officeDocument/2006/customXml" ds:itemID="{BD587063-127E-499D-A172-D3FBFFA9B6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Matilde Gualtieri</dc:creator>
  <cp:keywords/>
  <dc:description/>
  <cp:lastModifiedBy>Matilde Gualtieri</cp:lastModifiedBy>
  <cp:revision>4</cp:revision>
  <dcterms:created xsi:type="dcterms:W3CDTF">2022-10-26T14:25:00Z</dcterms:created>
  <dcterms:modified xsi:type="dcterms:W3CDTF">2023-03-19T16:13:00Z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0x0101006C2BED075D094D47BEED1432A078DA6D</vt:lpwstr>
  </property>
</Properties>
</file>